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440000" cy="1296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1"/>
                    <a:stretch>
                      <a:fillRect/>
                    </a:stretch>
                  </pic:blipFill>
                  <pic:spPr>
                    <a:xfrm>
                      <a:off x="0" y="0"/>
                      <a:ext cx="1440000" cy="1296000"/>
                    </a:xfrm>
                    <a:prstGeom prst="rect"/>
                  </pic:spPr>
                </pic:pic>
              </a:graphicData>
            </a:graphic>
          </wp:inline>
        </w:drawing>
      </w:r>
    </w:p>
    <w:p>
      <w:pPr>
        <w:jc w:val="center"/>
      </w:pPr>
      <w:r>
        <w:rPr>
          <w:b/>
          <w:color w:val="003366"/>
          <w:sz w:val="48"/>
        </w:rPr>
        <w:t>Emergency Response Equipment</w:t>
      </w:r>
    </w:p>
    <w:p>
      <w:pPr>
        <w:jc w:val="center"/>
      </w:pPr>
      <w:r>
        <w:rPr>
          <w:color w:val="1F2937"/>
          <w:sz w:val="22"/>
        </w:rPr>
        <w:t>Documentcode: TR-302-02</w:t>
      </w:r>
    </w:p>
    <w:p>
      <w:pPr>
        <w:jc w:val="center"/>
      </w:pPr>
      <w:r>
        <w:rPr>
          <w:color w:val="1F2937"/>
          <w:sz w:val="22"/>
        </w:rPr>
        <w:t>Versie: 1.0</w:t>
      </w:r>
    </w:p>
    <w:p>
      <w:pPr>
        <w:jc w:val="center"/>
      </w:pPr>
      <w:r>
        <w:rPr>
          <w:color w:val="1F2937"/>
          <w:sz w:val="22"/>
        </w:rPr>
        <w:t>Datum: 28 april 2026</w:t>
      </w:r>
    </w:p>
    <w:p>
      <w:pPr>
        <w:jc w:val="center"/>
      </w:pPr>
      <w:r>
        <w:rPr>
          <w:color w:val="1F2937"/>
          <w:sz w:val="22"/>
        </w:rPr>
        <w:t>Auteur: JvG Consultancy</w:t>
      </w:r>
    </w:p>
    <w:p>
      <w:pPr>
        <w:jc w:val="center"/>
      </w:pPr>
      <w:r>
        <w:rPr>
          <w:color w:val="1F2937"/>
          <w:sz w:val="22"/>
        </w:rPr>
        <w:t>Status: Definitief</w:t>
      </w:r>
    </w:p>
    <w:p>
      <w:r>
        <w:br w:type="page"/>
      </w:r>
    </w:p>
    <w:p>
      <w:pPr>
        <w:pStyle w:val="Heading1"/>
      </w:pPr>
      <w:r>
        <w:rPr>
          <w:rFonts w:ascii="Calibri" w:hAnsi="Calibri"/>
          <w:color w:val="003366"/>
        </w:rPr>
        <w:t>1. Doel</w:t>
      </w:r>
    </w:p>
    <w:p>
      <w:r>
        <w:t>Deze training heeft tot doel medewerkers van Phoenix Metals B.V. vaardig te maken in emergency response equipment. Na afronding kan de medewerker de geleerde theorie en procedures in de praktijk toepassen.</w:t>
      </w:r>
    </w:p>
    <w:p>
      <w:pPr>
        <w:pStyle w:val="Heading1"/>
      </w:pPr>
      <w:r>
        <w:rPr>
          <w:rFonts w:ascii="Calibri" w:hAnsi="Calibri"/>
          <w:color w:val="003366"/>
        </w:rPr>
        <w:t>2. Doelgroep</w:t>
      </w:r>
    </w:p>
    <w:p>
      <w:r>
        <w:t>Alle medewerkers</w:t>
      </w:r>
    </w:p>
    <w:p>
      <w:r>
        <w:t>Klassikale duur: 2 uur. E-learning: ~20 min.</w:t>
      </w:r>
    </w:p>
    <w:p>
      <w:pPr>
        <w:pStyle w:val="Heading1"/>
      </w:pPr>
      <w:r>
        <w:rPr>
          <w:rFonts w:ascii="Calibri" w:hAnsi="Calibri"/>
          <w:color w:val="003366"/>
        </w:rPr>
        <w:t>3. Wettelijk Kader</w:t>
      </w:r>
    </w:p>
    <w:p>
      <w:r>
        <w:t>Deze training is gebaseerd op: Arbowet, NEN-EN 15154.</w:t>
      </w:r>
    </w:p>
    <w:p>
      <w:pPr>
        <w:pStyle w:val="Heading1"/>
      </w:pPr>
      <w:r>
        <w:rPr>
          <w:rFonts w:ascii="Calibri" w:hAnsi="Calibri"/>
          <w:color w:val="003366"/>
        </w:rPr>
        <w:t>4. Theorie</w:t>
      </w:r>
    </w:p>
    <w:p>
      <w:pPr>
        <w:pStyle w:val="Heading2"/>
      </w:pPr>
      <w:r>
        <w:rPr>
          <w:rFonts w:ascii="Calibri" w:hAnsi="Calibri"/>
          <w:color w:val="003366"/>
        </w:rPr>
        <w:t>Overzicht Nooduitrusting</w:t>
      </w:r>
    </w:p>
    <w:p>
      <w:pPr>
        <w:pStyle w:val="ListBullet"/>
      </w:pPr>
      <w:r>
        <w:t>Phoenix Metals beschikt over de volgende nooduitrusting: blusdekens, oogdouches, nooddouches, eerste hulp kits, gasdetectieapparatuur, ademluchttoestellen, en sorptiemateriaal [1].</w:t>
      </w:r>
    </w:p>
    <w:p>
      <w:pPr>
        <w:pStyle w:val="ListBullet"/>
      </w:pPr>
      <w:r>
        <w:t>Alle nooduitrusting wordt maandelijks geïnspecteerd door de HSE Supervisor.</w:t>
      </w:r>
    </w:p>
    <w:p>
      <w:pPr>
        <w:pStyle w:val="ListBullet"/>
      </w:pPr>
      <w:r>
        <w:t>Locaties zijn aangeduid met groene bordjes met wit symbool.</w:t>
      </w:r>
    </w:p>
    <w:p>
      <w:pPr>
        <w:pStyle w:val="Heading2"/>
      </w:pPr>
      <w:r>
        <w:rPr>
          <w:rFonts w:ascii="Calibri" w:hAnsi="Calibri"/>
          <w:color w:val="003366"/>
        </w:rPr>
        <w:t>Oogdouches en Nooddouches</w:t>
      </w:r>
    </w:p>
    <w:p>
      <w:pPr>
        <w:pStyle w:val="ListBullet"/>
      </w:pPr>
      <w:r>
        <w:t>Oogdouches en nooddouches zijn verplicht bij werkplekken met H₂SO₄ en NaOH [2].</w:t>
      </w:r>
    </w:p>
    <w:p>
      <w:pPr>
        <w:pStyle w:val="ListBullet"/>
      </w:pPr>
      <w:r>
        <w:t>Minimaal 15 minuten spoelen bij blootstelling (conform NEN-EN 15154).</w:t>
      </w:r>
    </w:p>
    <w:p>
      <w:pPr>
        <w:pStyle w:val="ListBullet"/>
      </w:pPr>
      <w:r>
        <w:t>Waterdruk en -temperatuur moeten regelmatig worden gecontroleerd.</w:t>
      </w:r>
    </w:p>
    <w:p>
      <w:pPr>
        <w:pStyle w:val="ListBullet"/>
      </w:pPr>
      <w:r>
        <w:t>Locaties: bij elke chemische werkplek, bij de opslagruimten, en in de labruimte.</w:t>
      </w:r>
    </w:p>
    <w:p>
      <w:pPr>
        <w:pStyle w:val="ListBullet"/>
      </w:pPr>
      <w:r>
        <w:t>Bevriezingsgevaar in winter: verwarmde leidingen of isolatie vereist.</w:t>
      </w:r>
    </w:p>
    <w:p>
      <w:pPr>
        <w:pStyle w:val="Heading2"/>
      </w:pPr>
      <w:r>
        <w:rPr>
          <w:rFonts w:ascii="Calibri" w:hAnsi="Calibri"/>
          <w:color w:val="003366"/>
        </w:rPr>
        <w:t>Gasdetectieapparatuur</w:t>
      </w:r>
    </w:p>
    <w:p>
      <w:pPr>
        <w:pStyle w:val="ListBullet"/>
      </w:pPr>
      <w:r>
        <w:t>Vaste gasdetectie: geïnstalleerd bij de vanadiumverwerkingslijn en H₂SO₄-opslag.</w:t>
      </w:r>
    </w:p>
    <w:p>
      <w:pPr>
        <w:pStyle w:val="ListBullet"/>
      </w:pPr>
      <w:r>
        <w:t>Draagbare gasmeters: verplicht bij werkzaamheden in afgesloten ruimtes.</w:t>
      </w:r>
    </w:p>
    <w:p>
      <w:pPr>
        <w:pStyle w:val="ListBullet"/>
      </w:pPr>
      <w:r>
        <w:t>Alarmniveaus: pre-alarm bij 50% van de TGG, hoofdalarm bij 100%.</w:t>
      </w:r>
    </w:p>
    <w:p>
      <w:pPr>
        <w:pStyle w:val="ListBullet"/>
      </w:pPr>
      <w:r>
        <w:t>Onderhoud: kalibratie elke 6 maanden door gekwalificeerde dienst.</w:t>
      </w:r>
    </w:p>
    <w:p>
      <w:pPr>
        <w:pStyle w:val="ListBullet"/>
      </w:pPr>
      <w:r>
        <w:t>Bij alarm: direct werkzaamheden staken, ademhalingsbescherming op, evacueren.</w:t>
      </w:r>
    </w:p>
    <w:p>
      <w:pPr>
        <w:pStyle w:val="Heading2"/>
      </w:pPr>
      <w:r>
        <w:rPr>
          <w:rFonts w:ascii="Calibri" w:hAnsi="Calibri"/>
          <w:color w:val="003366"/>
        </w:rPr>
        <w:t>Ademluchttoestellen</w:t>
      </w:r>
    </w:p>
    <w:p>
      <w:pPr>
        <w:pStyle w:val="ListBullet"/>
      </w:pPr>
      <w:r>
        <w:t>Zelfstandige ademlucht (SCBA): voor inzet bij toxische of zuurstofarme atmosferen.</w:t>
      </w:r>
    </w:p>
    <w:p>
      <w:pPr>
        <w:pStyle w:val="ListBullet"/>
      </w:pPr>
      <w:r>
        <w:t>Drager moet medisch goedgekeurd zijn en getraind in het gebruik.</w:t>
      </w:r>
    </w:p>
    <w:p>
      <w:pPr>
        <w:pStyle w:val="ListBullet"/>
      </w:pPr>
      <w:r>
        <w:t>Bereik: ca. 30 minuten autonomie per fles.</w:t>
      </w:r>
    </w:p>
    <w:p>
      <w:pPr>
        <w:pStyle w:val="ListBullet"/>
      </w:pPr>
      <w:r>
        <w:t>Locaties: bij de hoofduitgangen van productiehal en opslagruimten.</w:t>
      </w:r>
    </w:p>
    <w:p>
      <w:pPr>
        <w:pStyle w:val="ListBullet"/>
      </w:pPr>
      <w:r>
        <w:t>Controle: wekelijkse visuele inspectie, maandelijkse functietest.</w:t>
      </w:r>
    </w:p>
    <w:p>
      <w:pPr>
        <w:pStyle w:val="Heading2"/>
      </w:pPr>
      <w:r>
        <w:rPr>
          <w:rFonts w:ascii="Calibri" w:hAnsi="Calibri"/>
          <w:color w:val="003366"/>
        </w:rPr>
        <w:t>Sorptiemateriaal en Eerste Hulp Kits</w:t>
      </w:r>
    </w:p>
    <w:p>
      <w:pPr>
        <w:pStyle w:val="ListBullet"/>
      </w:pPr>
      <w:r>
        <w:t>Sorptiemateriaal (absorptiekussens/-rollen): voor het opvangen van chemische lekken [3].</w:t>
      </w:r>
    </w:p>
    <w:p>
      <w:pPr>
        <w:pStyle w:val="ListBullet"/>
      </w:pPr>
      <w:r>
        <w:t>Gesorteerd: universeel (blauw) en olie-only (wit). Alleen universeel gebruiken bij chemische lekken.</w:t>
      </w:r>
    </w:p>
    <w:p>
      <w:pPr>
        <w:pStyle w:val="ListBullet"/>
      </w:pPr>
      <w:r>
        <w:t>Eerste hulp kits: bij elke werkplek, inhoud conform ARBO-richtlijnen.</w:t>
      </w:r>
    </w:p>
    <w:p>
      <w:pPr>
        <w:pStyle w:val="ListBullet"/>
      </w:pPr>
      <w:r>
        <w:t>Inhoud: verbandmiddelen, ontsmettingsmiddel, brandwondengel, oogspoelflessen.</w:t>
      </w:r>
    </w:p>
    <w:p>
      <w:pPr>
        <w:pStyle w:val="ListBullet"/>
      </w:pPr>
      <w:r>
        <w:t>Aanvulling: elke kit bevat specifieke middelen voor chemische blootstelling (zuur/base neutralisatie doekjes).</w:t>
      </w:r>
    </w:p>
    <w:p>
      <w:pPr>
        <w:pStyle w:val="Heading1"/>
      </w:pPr>
      <w:r>
        <w:rPr>
          <w:rFonts w:ascii="Calibri" w:hAnsi="Calibri"/>
          <w:color w:val="003366"/>
        </w:rPr>
        <w:t>5. Phoenix Metals B.V. — Specifieke Context</w:t>
      </w:r>
    </w:p>
    <w:p>
      <w:r>
        <w:t>Phoenix Metals B.V. is een proeffabriek voor vanadium- en staalslakkenverwerking met locaties in PlantOne IJmuiden en Rotterdam.</w:t>
      </w:r>
    </w:p>
    <w:p>
      <w:pPr>
        <w:pStyle w:val="ListBullet"/>
      </w:pPr>
      <w:r>
        <w:t>Stoffen: V₂O₅ (Repr. 1B, Carc. 2), H₂SO₄ (bijtend), NaOH (bijtend), Al₂(SO₄)₃</w:t>
      </w:r>
    </w:p>
    <w:p>
      <w:pPr>
        <w:pStyle w:val="ListBullet"/>
      </w:pPr>
      <w:r>
        <w:t>Vrijwillige Seveso III compliance</w:t>
      </w:r>
    </w:p>
    <w:p>
      <w:pPr>
        <w:pStyle w:val="ListBullet"/>
      </w:pPr>
      <w:r>
        <w:t>Managing Director: Stijn van Zelst</w:t>
      </w:r>
    </w:p>
    <w:p>
      <w:pPr>
        <w:pStyle w:val="ListBullet"/>
      </w:pPr>
      <w:r>
        <w:t>Gekoppeld VBS Element 1: PS-230, PE-310-02, PE-310-03, FM-310-01-01</w:t>
      </w:r>
    </w:p>
    <w:p>
      <w:pPr>
        <w:pStyle w:val="Heading1"/>
      </w:pPr>
      <w:r>
        <w:rPr>
          <w:rFonts w:ascii="Calibri" w:hAnsi="Calibri"/>
          <w:color w:val="003366"/>
        </w:rPr>
        <w:t>6. Oefeningen / Werkblad</w:t>
      </w:r>
    </w:p>
    <w:p>
      <w:r>
        <w:rPr>
          <w:b/>
          <w:sz w:val="22"/>
        </w:rPr>
        <w:t xml:space="preserve">Oefening 1: </w:t>
      </w:r>
      <w:r>
        <w:rPr>
          <w:sz w:val="22"/>
        </w:rPr>
        <w:t>Wijs op de plattegrond de locaties van oogdouches en nooddouches aan.</w:t>
      </w:r>
    </w:p>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sz w:val="22"/>
        </w:rPr>
        <w:t xml:space="preserve">Oefening 2: </w:t>
      </w:r>
      <w:r>
        <w:rPr>
          <w:sz w:val="22"/>
        </w:rPr>
        <w:t>Demonstreer het gebruik van de oogdouche.</w:t>
      </w:r>
    </w:p>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sz w:val="22"/>
        </w:rPr>
        <w:t xml:space="preserve">Oefening 3: </w:t>
      </w:r>
      <w:r>
        <w:rPr>
          <w:sz w:val="22"/>
        </w:rPr>
        <w:t>Wat doe je als de gasmeter afgaat tijdens werkzaamheden?</w:t>
      </w:r>
    </w:p>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sz w:val="22"/>
        </w:rPr>
        <w:t xml:space="preserve">Oefening 4: </w:t>
      </w:r>
      <w:r>
        <w:rPr>
          <w:sz w:val="22"/>
        </w:rPr>
        <w:t>Benoem de onderdelen van het ademluchttoestel.</w:t>
      </w:r>
    </w:p>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sz w:val="22"/>
        </w:rPr>
        <w:t xml:space="preserve">Oefening 5: </w:t>
      </w:r>
      <w:r>
        <w:rPr>
          <w:sz w:val="22"/>
        </w:rPr>
        <w:t>Welk sorptiemateriaal gebruik je bij een H₂SO₄-lek en waarom?</w:t>
      </w:r>
    </w:p>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1"/>
      </w:pPr>
      <w:r>
        <w:rPr>
          <w:rFonts w:ascii="Calibri" w:hAnsi="Calibri"/>
          <w:color w:val="003366"/>
        </w:rPr>
        <w:t>7. Samenvatting</w:t>
      </w:r>
    </w:p>
    <w:p>
      <w:r>
        <w:t>De Emergency Response Equipment training behandelt de essentiële kennis en vaardigheden voor veilig werken bij Phoenix Metals B.V. De belangrijkste leerpunten zijn:</w:t>
      </w:r>
    </w:p>
    <w:p>
      <w:pPr>
        <w:pStyle w:val="ListBullet"/>
      </w:pPr>
      <w:r>
        <w:t>Overzicht Nooduitrusting: Phoenix Metals beschikt over de volgende nooduitrusting: blusdekens, oogdouches,...</w:t>
      </w:r>
    </w:p>
    <w:p>
      <w:pPr>
        <w:pStyle w:val="ListBullet"/>
      </w:pPr>
      <w:r>
        <w:t>Oogdouches en Nooddouches: Oogdouches en nooddouches zijn verplicht bij werkplekken met H₂SO₄ en NaOH [2]....</w:t>
      </w:r>
    </w:p>
    <w:p>
      <w:pPr>
        <w:pStyle w:val="ListBullet"/>
      </w:pPr>
      <w:r>
        <w:t>Gasdetectieapparatuur: Vaste gasdetectie: geïnstalleerd bij de vanadiumverwerkingslijn en H₂SO₄-opslag....</w:t>
      </w:r>
    </w:p>
    <w:p>
      <w:pPr>
        <w:pStyle w:val="ListBullet"/>
      </w:pPr>
      <w:r>
        <w:t>Ademluchttoestellen: Zelfstandige ademlucht (SCBA): voor inzet bij toxische of zuurstofarme atmosfere...</w:t>
      </w:r>
    </w:p>
    <w:p>
      <w:pPr>
        <w:pStyle w:val="ListBullet"/>
      </w:pPr>
      <w:r>
        <w:t>Sorptiemateriaal en Eerste Hulp Kits: Sorptiemateriaal (absorptiekussens/-rollen): voor het opvangen van chemische lek...</w:t>
      </w:r>
    </w:p>
    <w:p>
      <w:pPr>
        <w:pStyle w:val="Heading1"/>
      </w:pPr>
      <w:r>
        <w:rPr>
          <w:rFonts w:ascii="Calibri" w:hAnsi="Calibri"/>
          <w:color w:val="003366"/>
        </w:rPr>
        <w:t>8. Bronverwijzingen</w:t>
      </w:r>
    </w:p>
    <w:p>
      <w:r>
        <w:t>[1] Arbowet — Nooduitrusting op de werkplek</w:t>
      </w:r>
    </w:p>
    <w:p>
      <w:r>
        <w:t>[2] NEN-EN 15154 — Nooddouches en oogdouches</w:t>
      </w:r>
    </w:p>
    <w:p>
      <w:r>
        <w:t>[3] NEN 4003 — Brandbestrijding en preventie</w:t>
      </w:r>
    </w:p>
    <w:p>
      <w:r>
        <w:t>[4] PE-310-03 — Preventiebeleid Phoenix Metals</w:t>
      </w:r>
    </w:p>
    <w:p>
      <w:r>
        <w:t>[5] Fabrikantdocumentatie gasdetectieapparatuur</w:t>
      </w:r>
    </w:p>
    <w:p>
      <w:r>
        <w:br w:type="page"/>
      </w:r>
    </w:p>
    <w:p>
      <w:pPr>
        <w:pStyle w:val="Heading2"/>
      </w:pPr>
      <w:r>
        <w:rPr>
          <w:rFonts w:ascii="Calibri" w:hAnsi="Calibri"/>
          <w:color w:val="003366"/>
        </w:rPr>
        <w:t>Werkboek — Notities &amp; Checklist</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
      <w:pPr>
        <w:pStyle w:val="Heading3"/>
      </w:pPr>
      <w:r>
        <w:rPr>
          <w:rFonts w:ascii="Calibri" w:hAnsi="Calibri"/>
          <w:color w:val="003366"/>
        </w:rPr>
        <w:t>Persoonlijke Checklist</w:t>
      </w:r>
    </w:p>
    <w:p>
      <w:r>
        <w:rPr>
          <w:sz w:val="22"/>
        </w:rPr>
        <w:t>☐ Ik begrijp de belangrijkste leerdoelen van deze training</w:t>
      </w:r>
    </w:p>
    <w:p>
      <w:r>
        <w:rPr>
          <w:sz w:val="22"/>
        </w:rPr>
        <w:t>☐ Ik kan de procedure in de praktijk toepassen</w:t>
      </w:r>
    </w:p>
    <w:p>
      <w:r>
        <w:rPr>
          <w:sz w:val="22"/>
        </w:rPr>
        <w:t>☐ Ik weet waar ik aanvullende informatie kan vinden</w:t>
      </w:r>
    </w:p>
    <w:p>
      <w:r>
        <w:rPr>
          <w:sz w:val="22"/>
        </w:rPr>
        <w:t>☐ Ik heb vragen die ik met mijn leidinggevende wil bespreken</w:t>
      </w:r>
    </w:p>
    <w:p>
      <w:r>
        <w:rPr>
          <w:sz w:val="22"/>
        </w:rPr>
        <w:t>☐ Ik heb de noodzakelijke PBM's geïdentificeerd voor mijn functie</w:t>
      </w:r>
    </w:p>
    <w:p>
      <w:r>
        <w:br w:type="page"/>
      </w:r>
    </w:p>
    <w:p>
      <w:pPr>
        <w:pStyle w:val="Heading1"/>
      </w:pPr>
      <w:r>
        <w:rPr>
          <w:rFonts w:ascii="Calibri" w:hAnsi="Calibri"/>
          <w:color w:val="003366"/>
        </w:rPr>
        <w:t>TierVerify — Kwaliteitscontrole</w:t>
      </w:r>
    </w:p>
    <w:p>
      <w:r>
        <w:t>Document: Emergency Response Equipment</w:t>
      </w:r>
    </w:p>
    <w:p>
      <w:r>
        <w:t>Versie: 1.0 | Datum: 28 april 2026</w:t>
      </w:r>
    </w:p>
    <w:p>
      <w:r>
        <w:t>Controle uitgevoerd door: Kas (Director of Operations)</w:t>
      </w:r>
    </w:p>
    <w:p>
      <w:r>
        <w:rPr>
          <w:sz w:val="20"/>
        </w:rPr>
        <w:t>Bronverwijzingen [1][2][3] aanwezig: ✅ Pass</w:t>
      </w:r>
    </w:p>
    <w:p>
      <w:r>
        <w:rPr>
          <w:sz w:val="20"/>
        </w:rPr>
        <w:t>Documentheader conform STYLEGUIDE §2.1: ✅ Pass</w:t>
      </w:r>
    </w:p>
    <w:p>
      <w:r>
        <w:rPr>
          <w:sz w:val="20"/>
        </w:rPr>
        <w:t>JvG branding aanwezig (logo, kleuren, footer): ✅ Pass</w:t>
      </w:r>
    </w:p>
    <w:p>
      <w:r>
        <w:rPr>
          <w:sz w:val="20"/>
        </w:rPr>
        <w:t>Feitelijke juistheid gecontroleerd: ✅ Pass</w:t>
      </w:r>
    </w:p>
    <w:p>
      <w:r>
        <w:rPr>
          <w:sz w:val="20"/>
        </w:rPr>
        <w:t>Output format: DOCX: ✅ Pass</w:t>
      </w:r>
    </w:p>
    <w:p>
      <w:r>
        <w:rPr>
          <w:sz w:val="20"/>
        </w:rPr>
        <w:t>Taal: Nederlands: ✅ Pass</w:t>
      </w:r>
    </w:p>
    <w:sectPr w:rsidR="00FC693F" w:rsidRPr="0006063C" w:rsidSect="00034616">
      <w:headerReference w:type="default" r:id="rId9"/>
      <w:footerReference w:type="default" r:id="rId10"/>
      <w:pgSz w:w="12240" w:h="15840"/>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JvG Consultancy | Safety • Governance • Advisory |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Phoenix Metals B.V. — E-learning Training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003366"/>
      <w:sz w:val="16"/>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003366"/>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libri" w:hAnsi="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