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jc w:val="center"/>
      </w:pPr>
      <w:r>
        <w:rPr>
          <w:b/>
          <w:color w:val="003366"/>
          <w:sz w:val="56"/>
        </w:rPr>
        <w:t>QC HER-AUDIT RAPPORT</w:t>
      </w:r>
    </w:p>
    <w:p>
      <w:pPr>
        <w:jc w:val="center"/>
      </w:pPr>
      <w:r>
        <w:rPr>
          <w:color w:val="1F2937"/>
          <w:sz w:val="32"/>
        </w:rPr>
        <w:t>Phoenix Metals — Veiligheidsbeheerssysteem (VBS)</w:t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6B7280"/>
          <w:sz w:val="18"/>
        </w:rPr>
        <w:t>JvG Consultancy | Safety • Governance • Advisory | © 2026</w:t>
      </w:r>
    </w:p>
    <w:p/>
    <w:p/>
    <w:p>
      <w:pPr>
        <w:jc w:val="center"/>
      </w:pPr>
      <w:r>
        <w:rPr>
          <w:sz w:val="22"/>
        </w:rPr>
        <w:t>Datum: 29 april 2026</w:t>
        <w:br/>
        <w:t>Versie: 1.0</w:t>
        <w:br/>
        <w:t>Status: Definitief</w:t>
        <w:br/>
        <w:t>Auteur: Kas QC Auditor</w:t>
      </w:r>
    </w:p>
    <w:p>
      <w:r>
        <w:br w:type="page"/>
      </w:r>
    </w:p>
    <w:p>
      <w:pPr>
        <w:pStyle w:val="Heading1"/>
      </w:pPr>
      <w:r>
        <w:t>Documentbeheersing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Versie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Auteur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Wijziging</w:t>
            </w:r>
          </w:p>
        </w:tc>
      </w:tr>
      <w:tr>
        <w:tc>
          <w:tcPr>
            <w:tcW w:type="dxa" w:w="2160"/>
          </w:tcPr>
          <w:p>
            <w:r>
              <w:t>0.1</w:t>
            </w:r>
          </w:p>
        </w:tc>
        <w:tc>
          <w:tcPr>
            <w:tcW w:type="dxa" w:w="2160"/>
          </w:tcPr>
          <w:p>
            <w:r>
              <w:t>29-04-2026</w:t>
            </w:r>
          </w:p>
        </w:tc>
        <w:tc>
          <w:tcPr>
            <w:tcW w:type="dxa" w:w="2160"/>
          </w:tcPr>
          <w:p>
            <w:r>
              <w:t>Kas QC Auditor</w:t>
            </w:r>
          </w:p>
        </w:tc>
        <w:tc>
          <w:tcPr>
            <w:tcW w:type="dxa" w:w="2160"/>
          </w:tcPr>
          <w:p>
            <w:r>
              <w:t>Initiële opzet her-audit</w:t>
            </w:r>
          </w:p>
        </w:tc>
      </w:tr>
      <w:tr>
        <w:tc>
          <w:tcPr>
            <w:tcW w:type="dxa" w:w="2160"/>
          </w:tcPr>
          <w:p>
            <w:r>
              <w:t>1.0</w:t>
            </w:r>
          </w:p>
        </w:tc>
        <w:tc>
          <w:tcPr>
            <w:tcW w:type="dxa" w:w="2160"/>
          </w:tcPr>
          <w:p>
            <w:r>
              <w:t>29-04-2026</w:t>
            </w:r>
          </w:p>
        </w:tc>
        <w:tc>
          <w:tcPr>
            <w:tcW w:type="dxa" w:w="2160"/>
          </w:tcPr>
          <w:p>
            <w:r>
              <w:t>Kas QC Auditor</w:t>
            </w:r>
          </w:p>
        </w:tc>
        <w:tc>
          <w:tcPr>
            <w:tcW w:type="dxa" w:w="2160"/>
          </w:tcPr>
          <w:p>
            <w:r>
              <w:t>Definitieve her-audit na QC fixes</w:t>
            </w:r>
          </w:p>
        </w:tc>
      </w:tr>
      <w:tr>
        <w:tc>
          <w:tcPr>
            <w:tcW w:type="dxa" w:w="2160"/>
          </w:tcPr>
          <w:p>
            <w:r>
              <w:t>Goedgekeurd</w:t>
            </w:r>
          </w:p>
        </w:tc>
        <w:tc>
          <w:tcPr>
            <w:tcW w:type="dxa" w:w="2160"/>
          </w:tcPr>
          <w:p>
            <w:r>
              <w:t>29-04-2026</w:t>
            </w:r>
          </w:p>
        </w:tc>
        <w:tc>
          <w:tcPr>
            <w:tcW w:type="dxa" w:w="2160"/>
          </w:tcPr>
          <w:p>
            <w:r>
              <w:t>Jorick van Gemert</w:t>
            </w:r>
          </w:p>
        </w:tc>
        <w:tc>
          <w:tcPr>
            <w:tcW w:type="dxa" w:w="2160"/>
          </w:tcPr>
          <w:p>
            <w:r>
              <w:t>Directie goedkeuring</w:t>
            </w:r>
          </w:p>
        </w:tc>
      </w:tr>
    </w:tbl>
    <w:p/>
    <w:p>
      <w:pPr>
        <w:pStyle w:val="Heading1"/>
      </w:pPr>
      <w:r>
        <w:t>Inhoudsopgave</w:t>
      </w:r>
    </w:p>
    <w:p>
      <w:pPr>
        <w:spacing w:after="40"/>
      </w:pPr>
      <w:r>
        <w:t>1. Inleiding — Her-audit na QC fixes</w:t>
      </w:r>
    </w:p>
    <w:p>
      <w:pPr>
        <w:spacing w:after="40"/>
      </w:pPr>
      <w:r>
        <w:t>2. Samenvatting — Vergelijking vorige audit vs her-audit</w:t>
      </w:r>
    </w:p>
    <w:p>
      <w:pPr>
        <w:spacing w:after="40"/>
      </w:pPr>
      <w:r>
        <w:t>3. Resultaten per document</w:t>
      </w:r>
    </w:p>
    <w:p>
      <w:pPr>
        <w:spacing w:after="40"/>
      </w:pPr>
      <w:r>
        <w:t>4. Resultaten per element</w:t>
      </w:r>
    </w:p>
    <w:p>
      <w:pPr>
        <w:spacing w:after="40"/>
      </w:pPr>
      <w:r>
        <w:t>5. Resterende bevindingen</w:t>
      </w:r>
    </w:p>
    <w:p>
      <w:pPr>
        <w:spacing w:after="40"/>
      </w:pPr>
      <w:r>
        <w:t>6. Conclusie</w:t>
      </w:r>
    </w:p>
    <w:p>
      <w:r>
        <w:br w:type="page"/>
      </w:r>
    </w:p>
    <w:p>
      <w:pPr>
        <w:pStyle w:val="Heading1"/>
      </w:pPr>
      <w:r>
        <w:t>1. Inleiding — Her-audit na QC fixes</w:t>
      </w:r>
    </w:p>
    <w:p>
      <w:r>
        <w:t>Dit rapport bevat de resultaten van de her-audit van alle VBS-documenten voor Phoenix Metals, uitgevoerd op 29 april 2026. Na de initiële QC audit (resultaat: 83,7%) zijn uitgebreide fixes toegepast op alle documenten. Deze her-audit verifieert of de bevindingen uit de eerste audit adequaat zijn opgelost.</w:t>
      </w:r>
    </w:p>
    <w:p>
      <w:r>
        <w:t>De audit is uitgevoerd met een geautomatiseerd Python-script (python-docx) dat alle 153 DOCX-bestanden heeft gecontroleerd op 9 kwaliteitscriteria conform de MASTER_STYLEGUIDE en MASTER_SOP.</w:t>
      </w:r>
    </w:p>
    <w:p>
      <w:pPr>
        <w:pStyle w:val="Heading1"/>
      </w:pPr>
      <w:r>
        <w:t>2. Samenvatting — Vergelijking vorige audit vs her-audit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Metriek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Vorige audit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Her-audit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Verschil</w:t>
            </w:r>
          </w:p>
        </w:tc>
      </w:tr>
      <w:tr>
        <w:tc>
          <w:tcPr>
            <w:tcW w:type="dxa" w:w="2160"/>
          </w:tcPr>
          <w:p>
            <w:r>
              <w:t>Totaal documenten</w:t>
            </w:r>
          </w:p>
        </w:tc>
        <w:tc>
          <w:tcPr>
            <w:tcW w:type="dxa" w:w="2160"/>
          </w:tcPr>
          <w:p>
            <w:r>
              <w:t>~95</w:t>
            </w:r>
          </w:p>
        </w:tc>
        <w:tc>
          <w:tcPr>
            <w:tcW w:type="dxa" w:w="2160"/>
          </w:tcPr>
          <w:p>
            <w:r>
              <w:t>153</w:t>
            </w:r>
          </w:p>
        </w:tc>
        <w:tc>
          <w:tcPr>
            <w:tcW w:type="dxa" w:w="2160"/>
          </w:tcPr>
          <w:p>
            <w:r>
              <w:t>+58</w:t>
            </w:r>
          </w:p>
        </w:tc>
      </w:tr>
      <w:tr>
        <w:tc>
          <w:tcPr>
            <w:tcW w:type="dxa" w:w="2160"/>
          </w:tcPr>
          <w:p>
            <w:r>
              <w:t>Gemiddelde score</w:t>
            </w:r>
          </w:p>
        </w:tc>
        <w:tc>
          <w:tcPr>
            <w:tcW w:type="dxa" w:w="2160"/>
          </w:tcPr>
          <w:p>
            <w:r>
              <w:t>83,7%</w:t>
            </w:r>
          </w:p>
        </w:tc>
        <w:tc>
          <w:tcPr>
            <w:tcW w:type="dxa" w:w="2160"/>
          </w:tcPr>
          <w:p>
            <w:r>
              <w:t>98.1%</w:t>
            </w:r>
          </w:p>
        </w:tc>
        <w:tc>
          <w:tcPr>
            <w:tcW w:type="dxa" w:w="2160"/>
          </w:tcPr>
          <w:p>
            <w:r>
              <w:t>+14.4%</w:t>
            </w:r>
          </w:p>
        </w:tc>
      </w:tr>
      <w:tr>
        <w:tc>
          <w:tcPr>
            <w:tcW w:type="dxa" w:w="2160"/>
          </w:tcPr>
          <w:p>
            <w:r>
              <w:t>PASS</w:t>
            </w:r>
          </w:p>
        </w:tc>
        <w:tc>
          <w:tcPr>
            <w:tcW w:type="dxa" w:w="2160"/>
          </w:tcPr>
          <w:p>
            <w:r>
              <w:t>~65</w:t>
            </w:r>
          </w:p>
        </w:tc>
        <w:tc>
          <w:tcPr>
            <w:tcW w:type="dxa" w:w="2160"/>
          </w:tcPr>
          <w:p>
            <w:r>
              <w:t>151</w:t>
            </w:r>
          </w:p>
        </w:tc>
        <w:tc>
          <w:tcPr>
            <w:tcW w:type="dxa" w:w="2160"/>
          </w:tcPr>
          <w:p>
            <w:r>
              <w:t>+86</w:t>
            </w:r>
          </w:p>
        </w:tc>
      </w:tr>
      <w:tr>
        <w:tc>
          <w:tcPr>
            <w:tcW w:type="dxa" w:w="2160"/>
          </w:tcPr>
          <w:p>
            <w:r>
              <w:t>WARN</w:t>
            </w:r>
          </w:p>
        </w:tc>
        <w:tc>
          <w:tcPr>
            <w:tcW w:type="dxa" w:w="2160"/>
          </w:tcPr>
          <w:p>
            <w:r>
              <w:t>~25</w:t>
            </w:r>
          </w:p>
        </w:tc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-23</w:t>
            </w:r>
          </w:p>
        </w:tc>
      </w:tr>
      <w:tr>
        <w:tc>
          <w:tcPr>
            <w:tcW w:type="dxa" w:w="2160"/>
          </w:tcPr>
          <w:p>
            <w:r>
              <w:t>FAIL</w:t>
            </w:r>
          </w:p>
        </w:tc>
        <w:tc>
          <w:tcPr>
            <w:tcW w:type="dxa" w:w="2160"/>
          </w:tcPr>
          <w:p>
            <w:r>
              <w:t>~5</w:t>
            </w:r>
          </w:p>
        </w:tc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-5</w:t>
            </w:r>
          </w:p>
        </w:tc>
      </w:tr>
      <w:tr>
        <w:tc>
          <w:tcPr>
            <w:tcW w:type="dxa" w:w="2160"/>
          </w:tcPr>
          <w:p>
            <w:r>
              <w:t>Logo aanwezig</w:t>
            </w:r>
          </w:p>
        </w:tc>
        <w:tc>
          <w:tcPr>
            <w:tcW w:type="dxa" w:w="2160"/>
          </w:tcPr>
          <w:p>
            <w:r>
              <w:t>~75%</w:t>
            </w:r>
          </w:p>
        </w:tc>
        <w:tc>
          <w:tcPr>
            <w:tcW w:type="dxa" w:w="2160"/>
          </w:tcPr>
          <w:p>
            <w:r>
              <w:t>100%</w:t>
            </w:r>
          </w:p>
        </w:tc>
        <w:tc>
          <w:tcPr>
            <w:tcW w:type="dxa" w:w="2160"/>
          </w:tcPr>
          <w:p>
            <w:r>
              <w:t>+</w:t>
            </w:r>
          </w:p>
        </w:tc>
      </w:tr>
      <w:tr>
        <w:tc>
          <w:tcPr>
            <w:tcW w:type="dxa" w:w="2160"/>
          </w:tcPr>
          <w:p>
            <w:r>
              <w:t>TierVerify aanwezig</w:t>
            </w:r>
          </w:p>
        </w:tc>
        <w:tc>
          <w:tcPr>
            <w:tcW w:type="dxa" w:w="2160"/>
          </w:tcPr>
          <w:p>
            <w:r>
              <w:t>~60%</w:t>
            </w:r>
          </w:p>
        </w:tc>
        <w:tc>
          <w:tcPr>
            <w:tcW w:type="dxa" w:w="2160"/>
          </w:tcPr>
          <w:p>
            <w:r>
              <w:t>100%</w:t>
            </w:r>
          </w:p>
        </w:tc>
        <w:tc>
          <w:tcPr>
            <w:tcW w:type="dxa" w:w="2160"/>
          </w:tcPr>
          <w:p>
            <w:r>
              <w:t>+</w:t>
            </w:r>
          </w:p>
        </w:tc>
      </w:tr>
    </w:tbl>
    <w:p/>
    <w:p>
      <w:pPr>
        <w:pStyle w:val="Heading1"/>
      </w:pPr>
      <w:r>
        <w:t>3. Resultaten per document</w:t>
      </w:r>
    </w:p>
    <w:p>
      <w:r>
        <w:t>Totaal geauditeerd: 153 documenten. Onderstaande tabel toont de score per document.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tcW w:type="dxa" w:w="720"/>
          </w:tcPr>
          <w:p>
            <w:r>
              <w:rPr>
                <w:b/>
                <w:sz w:val="14"/>
              </w:rPr>
              <w:t>Document</w:t>
            </w:r>
          </w:p>
        </w:tc>
        <w:tc>
          <w:tcPr>
            <w:tcW w:type="dxa" w:w="720"/>
          </w:tcPr>
          <w:p>
            <w:r>
              <w:rPr>
                <w:b/>
                <w:sz w:val="14"/>
              </w:rPr>
              <w:t>Logo</w:t>
            </w:r>
          </w:p>
        </w:tc>
        <w:tc>
          <w:tcPr>
            <w:tcW w:type="dxa" w:w="720"/>
          </w:tcPr>
          <w:p>
            <w:r>
              <w:rPr>
                <w:b/>
                <w:sz w:val="14"/>
              </w:rPr>
              <w:t>Footer</w:t>
            </w:r>
          </w:p>
        </w:tc>
        <w:tc>
          <w:tcPr>
            <w:tcW w:type="dxa" w:w="720"/>
          </w:tcPr>
          <w:p>
            <w:r>
              <w:rPr>
                <w:b/>
                <w:sz w:val="14"/>
              </w:rPr>
              <w:t>Docbeheer</w:t>
            </w:r>
          </w:p>
        </w:tc>
        <w:tc>
          <w:tcPr>
            <w:tcW w:type="dxa" w:w="720"/>
          </w:tcPr>
          <w:p>
            <w:r>
              <w:rPr>
                <w:b/>
                <w:sz w:val="14"/>
              </w:rPr>
              <w:t>Bronverwijzingen</w:t>
            </w:r>
          </w:p>
        </w:tc>
        <w:tc>
          <w:tcPr>
            <w:tcW w:type="dxa" w:w="720"/>
          </w:tcPr>
          <w:p>
            <w:r>
              <w:rPr>
                <w:b/>
                <w:sz w:val="14"/>
              </w:rPr>
              <w:t>TierVerify</w:t>
            </w:r>
          </w:p>
        </w:tc>
        <w:tc>
          <w:tcPr>
            <w:tcW w:type="dxa" w:w="720"/>
          </w:tcPr>
          <w:p>
            <w:r>
              <w:rPr>
                <w:b/>
                <w:sz w:val="14"/>
              </w:rPr>
              <w:t>Calibri</w:t>
            </w:r>
          </w:p>
        </w:tc>
        <w:tc>
          <w:tcPr>
            <w:tcW w:type="dxa" w:w="720"/>
          </w:tcPr>
          <w:p>
            <w:r>
              <w:rPr>
                <w:b/>
                <w:sz w:val="14"/>
              </w:rPr>
              <w:t>#003366</w:t>
            </w:r>
          </w:p>
        </w:tc>
        <w:tc>
          <w:tcPr>
            <w:tcW w:type="dxa" w:w="720"/>
          </w:tcPr>
          <w:p>
            <w:r>
              <w:rPr>
                <w:b/>
                <w:sz w:val="14"/>
              </w:rPr>
              <w:t>Tabellen</w:t>
            </w:r>
          </w:p>
        </w:tc>
        <w:tc>
          <w:tcPr>
            <w:tcW w:type="dxa" w:w="720"/>
          </w:tcPr>
          <w:p>
            <w:r>
              <w:rPr>
                <w:b/>
                <w:sz w:val="14"/>
              </w:rPr>
              <w:t>≥30 paragr.</w:t>
            </w:r>
          </w:p>
        </w:tc>
        <w:tc>
          <w:tcPr>
            <w:tcW w:type="dxa" w:w="720"/>
          </w:tcPr>
          <w:p>
            <w:r>
              <w:rPr>
                <w:b/>
                <w:sz w:val="14"/>
              </w:rPr>
              <w:t>Score</w:t>
            </w:r>
          </w:p>
        </w:tc>
        <w:tc>
          <w:tcPr>
            <w:tcW w:type="dxa" w:w="720"/>
          </w:tcPr>
          <w:p>
            <w:r>
              <w:rPr>
                <w:b/>
                <w:sz w:val="14"/>
              </w:rPr>
              <w:t>Status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PM_VBS01_01_PBZO_Beleidsdocument...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PM_VBS01_01_PBZO_Beleidsdocument...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8/9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PM_VBS01_01_PBZO_Beleidsdocument...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8/9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PM_VBS01_01_PBZO_Beleidsdocument...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PM_VBS01_02_Functieprofielen_Vei...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PM_VBS01_02_Functieprofielen_Vei...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PM_VBS01_02_Functieprofielen_Vei...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PM_VBS01_03_Organigram_Veilighei...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PM_VBS01_03_Organigram_Veilighei...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PM_VBS01_03_Organigram_Veilighei...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PM_VBS01_04_Training_Matrix_v1.0...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PM_VBS01_04_Training_Matrix_v1.1...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PM_VBS01_04_Training_Matrix_v1.2...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PM_VBS01_04_Training_Matrix_v1.3...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PM_VBS01_05_Inwerkprogramma_v1.0...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PM_VBS01_05_Inwerkprogramma_v1.1...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PM_VBS01_05_Inwerkprogramma_v1.2...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PM_VBS01_05_Inwerkprogramma_v1.3...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PM_VBS01_06_Toolbox_Meeting_Proc...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8/9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PM_VBS01_06_Toolbox_Meeting_Proc...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PM_VBS01_06_Toolbox_Meeting_Proc...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PM_VBS01_07_Competentie_Assessme...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PM_VBS01_07_Competentie_Assessme...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PM_VBS01_07_Competentie_Assessme...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PM_VBS01_07_Competentie_Assessme...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PM_VBS01_07_Competentie_Assessme...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PM_VBS01_08_BASIS_Training_Progr...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PM_VBS01_08_BASIS_Training_Progr...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PM_VBS01_09_SPECIFIEKE_Training_...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PM_VBS01_09_SPECIFIEKE_Training_...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PM_VBS01_10_Procedure_Onderaanne...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8/9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PM_VBS01_10_Procedure_Onderaanne...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PM_VBS01_10_Procedure_Onderaanne...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PM_VBS01_11_Veiligheidsprestatie...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PM_VBS01_11_Veiligheidsprestatie...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PM_VBS01_11_Veiligheidsprestatie...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PM_VBS01_12_Communicatie_Melding...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PM_VBS01_12_Communicatie_Melding...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PM_VBS01_12_Communicatie_Melding...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PM_VBS01_QC_Audit_Rapport_v1.0.docx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PM_VBS01_13_Medezeggenschap_Arbo...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PM_VBS01_14_Management_Review_v1...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PM_VBS01_15_Budget_Middelen_VBS_...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8/9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PM_VBS01_16_Beleidsherzieningstr...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PM_VBS02_01_Stofinventarisatie_v...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PM_VBS02_02_Gevarenregister_v1.0...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PM_VBS02_02_Gevarenregister_v1.0...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PM_VBS02_03_Risicomatrix_v1.0.docx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7/9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WARN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PM_VBS02_03_Risicomatrix_v1.1.docx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8/9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PM_VBS02_03_Risicomatrix_v1.1_v1...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PM_VBS02_04_FMECA_Analyse_v1.0.docx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PM_VBS02_04_FMECA_Analyse_v1.0_v...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PM_VBS02_05_RIE_Actualisatie_v1....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PM_VBS02_06_Stofexplosie_ATEX_v1...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PM_VBS02_06_Stofexplosie_ATEX_v1...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PM_VBS02_07_HAZOP_Studieopzet_v1...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PM_VBS02_07_HAZOP_Studieopzet_v1...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PM_VBS02_08_BowTie_Procesveiligh...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PM_VBS02_08_BowTie_Procesveiligh...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PM_VBS02_09_Domino_Effecten_v1.0...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PM_VBS02_10_Externe_Veiligheid_v...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PM_VBS02_11_QRA_Kwantitatieve_Ri...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PM_VBS02_12_Major_Accident_Scena...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PM_VBS02_13_Milieugevaren_Analys...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PM_VBS02_QC_Audit_Rapport_v1.0.docx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8/9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PM_VBS03_01_Control_of_Work_v1.0...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PM_VBS03_01_Control_of_Work_v1.1...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PM_VBS03_01_Control_of_Work_v1.2...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PM_VBS03_02_Heet_Werk_Vonken_v1....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PM_VBS03_02_Heet_Werk_Vonken_v1....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PM_VBS03_03_Gevaarlijke_Stoffen_...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PM_VBS03_03_Gevaarlijke_Stoffen_...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PM_VBS03_04_Werken_op_Hoogte_v1....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PM_VBS03_04_Werken_op_Hoogte_v1....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PM_VBS03_05_Onderhoud_v1.0.docx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PM_VBS03_05_Onderhoud_v1.1.docx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PM_VBS03_05_Onderhoud_v1.2.docx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PM_VBS03_06_Manipulaties_Overbru...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PM_VBS03_07_Formulierenpakket_v1...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PM_VBS03_07_Formulierenpakket_v1...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PM_VBS03_08_PSSR_v1.0.docx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PM_VBS03_08_PSSR_v1.1.docx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PM_VBS03_08_PSSR_v1.2.docx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PM_VBS03_09_Operationele_Inspect...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PM_VBS03_09_Operationele_Inspect...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PM_VBS03_09_Operationele_Inspect...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PM_VBS03_10_KPI_Matrix_v1.0.docx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8/9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PM_VBS03_10_KPI_Matrix_v1.1.docx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8/9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PM_VBS03_10_KPI_Matrix_v1.2.docx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8/9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PM_VBS03_11_LOTO_Procedure_v1.0....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PM_VBS03_12_Alarmsystemen_Detect...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PM_VBS03_13_Veilige_Instrumentat...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8/9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PM_VBS03_14_Start_Shutdown_Proce...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8/9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PM_VBS03_15_VE_Register_SCE_v1.0...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8/9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PM_VBS03_QC_Audit_Rapport_v1.0.docx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8/9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PM_VBS04_01_Bedrijfsnoodplan_v1....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PM_VBS04_01_Bedrijfsnoodplan_v1....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PM_VBS04_02_Noodprocedures_Scena...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PM_VBS04_02_Noodprocedures_Scena...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PM_VBS04_02_Noodprocedures_Scena...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PM_VBS04_03_BHV_Organisatie_v1.0...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PM_VBS04_03_BHV_Organisatie_v1.1...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PM_VBS04_03_BHV_Organisatie_v1.2...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PM_VBS04_04_Evacuatieplan_v1.0.docx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PM_VBS04_05_Crisiscommunicatie_v...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PM_VBS04_05_Crisiscommunicatie_v...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PM_VBS04_05_Crisiscommunicatie_v...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PM_VBS04_06_Noodinspectie_Herste...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PM_VBS04_06_Noodinspectie_Herste...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PM_VBS04_06_Noodinspectie_Herste...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PM_VBS04_07_Oefenprogramma_v1.0....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PM_VBS04_07_Oefenprogramma_v1.1....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PM_VBS04_07_Oefenprogramma_v1.2....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PM_VBS04_07_Oefenprogramma_v1.2_...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PM_VBS04_07_Oefenprogramma_v1.3....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PM_VBS04_08_Formulierenpakket_v1...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7/9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WARN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PM_VBS04_08_Formulierenpakket_v1...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8/9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PM_VBS04_08_Formulierenpakket_v1...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8/9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PM_VBS04_09_Meldingsprocedure_In...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PM_VBS04_10_Externe_Hulpdiensten...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PM_VBS04_11_Informatie_Omwonende...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PM_VBS04_12_Post_Incident_Onderz...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PM_VBS04_13_Business_Continuity_...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PM_VBS04_14_Seveso_Rapportagever...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PM_VBS04_QC_Audit_Rapport_v1.0.docx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PM_VBS_INTEGRATIE_Audit_Rapport_...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8/9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PM_VBS05_01_MoC_Beleid_Kaderdocu...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PM_VBS05_01_MoC_Beleid_Kaderdocu...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PM_VBS05_02_MoC_Procedure_v1.0.docx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PM_VBS05_02_MoC_Procedure_v1.1.docx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PM_VBS05_03_Classificatie_Risico...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PM_VBS05_04_Formulierenpakket_v1...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PM_VBS05_05_MoC_Register_Dashboa...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PM_VBS05_06_RASCI_Rollenmatrix_v...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PM_VBS05_07_Integratie_Audit_Cro...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PM_VBS06_01_Audit_Beleid_Kaderdo...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PM_VBS06_02_Intern_Audit_Program...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PM_VBS06_03_Audit_Checklist_Matr...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8/9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PM_VBS06_04_KPI_Dashboard_Monito...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8/9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PM_VBS06_05_Compliance_Monitorin...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8/9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PM_VBS06_06_CAPA_Procedure_v1.0....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PM_VBS06_07_Zelfevaluatie_VBS_v1...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PM_VBS_INTEGRATIE_Master_Audit_v...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PM_VBS07_01_Controle_Analyse_Bel...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PM_VBS07_02_Periodieke_VBS_Evalu...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PM_VBS07_03_Trendanalyse_Data_An...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PM_VBS07_04_Verbeterprogramma_Co...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PM_VBS07_05_VBS_Volwassenheidsmo...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PM_VBS_IMPLEMENTATIE_Training_Pl...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8/9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PM_VBS_DMS_Procedure_v1.0.docx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PM_VBS_MASTER_Directie_Samenvatt...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❌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8/9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PM_VBS_MASTER_Implementatie_Chec...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  <w:tr>
        <w:tc>
          <w:tcPr>
            <w:tcW w:type="dxa" w:w="720"/>
          </w:tcPr>
          <w:p>
            <w:r>
              <w:rPr>
                <w:sz w:val="12"/>
              </w:rPr>
              <w:t>PM_VBS_MASTER_QC_Audit_Rapport_v...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✅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9/9</w:t>
            </w:r>
          </w:p>
        </w:tc>
        <w:tc>
          <w:tcPr>
            <w:tcW w:type="dxa" w:w="720"/>
          </w:tcPr>
          <w:p>
            <w:r>
              <w:rPr>
                <w:sz w:val="14"/>
              </w:rPr>
              <w:t>PASS</w:t>
            </w:r>
          </w:p>
        </w:tc>
      </w:tr>
    </w:tbl>
    <w:p>
      <w:r>
        <w:br w:type="page"/>
      </w:r>
    </w:p>
    <w:p>
      <w:pPr>
        <w:pStyle w:val="Heading1"/>
      </w:pPr>
      <w:r>
        <w:t>4. Resultaten per element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Element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Aantal docs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Gem. score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Min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Status</w:t>
            </w:r>
          </w:p>
        </w:tc>
      </w:tr>
      <w:tr>
        <w:tc>
          <w:tcPr>
            <w:tcW w:type="dxa" w:w="1728"/>
          </w:tcPr>
          <w:p>
            <w:r>
              <w:t>Element 1 (Beleid &amp; Organisatie)</w:t>
            </w:r>
          </w:p>
        </w:tc>
        <w:tc>
          <w:tcPr>
            <w:tcW w:type="dxa" w:w="1728"/>
          </w:tcPr>
          <w:p>
            <w:r>
              <w:t>44</w:t>
            </w:r>
          </w:p>
        </w:tc>
        <w:tc>
          <w:tcPr>
            <w:tcW w:type="dxa" w:w="1728"/>
          </w:tcPr>
          <w:p>
            <w:r>
              <w:t>98.7%</w:t>
            </w:r>
          </w:p>
        </w:tc>
        <w:tc>
          <w:tcPr>
            <w:tcW w:type="dxa" w:w="1728"/>
          </w:tcPr>
          <w:p>
            <w:r>
              <w:t>88.9%</w:t>
            </w:r>
          </w:p>
        </w:tc>
        <w:tc>
          <w:tcPr>
            <w:tcW w:type="dxa" w:w="1728"/>
          </w:tcPr>
          <w:p>
            <w:r>
              <w:t>PASS</w:t>
            </w:r>
          </w:p>
        </w:tc>
      </w:tr>
      <w:tr>
        <w:tc>
          <w:tcPr>
            <w:tcW w:type="dxa" w:w="1728"/>
          </w:tcPr>
          <w:p>
            <w:r>
              <w:t>Element 2 (Risicoanalyse)</w:t>
            </w:r>
          </w:p>
        </w:tc>
        <w:tc>
          <w:tcPr>
            <w:tcW w:type="dxa" w:w="1728"/>
          </w:tcPr>
          <w:p>
            <w:r>
              <w:t>21</w:t>
            </w:r>
          </w:p>
        </w:tc>
        <w:tc>
          <w:tcPr>
            <w:tcW w:type="dxa" w:w="1728"/>
          </w:tcPr>
          <w:p>
            <w:r>
              <w:t>97.9%</w:t>
            </w:r>
          </w:p>
        </w:tc>
        <w:tc>
          <w:tcPr>
            <w:tcW w:type="dxa" w:w="1728"/>
          </w:tcPr>
          <w:p>
            <w:r>
              <w:t>77.8%</w:t>
            </w:r>
          </w:p>
        </w:tc>
        <w:tc>
          <w:tcPr>
            <w:tcW w:type="dxa" w:w="1728"/>
          </w:tcPr>
          <w:p>
            <w:r>
              <w:t>PASS</w:t>
            </w:r>
          </w:p>
        </w:tc>
      </w:tr>
      <w:tr>
        <w:tc>
          <w:tcPr>
            <w:tcW w:type="dxa" w:w="1728"/>
          </w:tcPr>
          <w:p>
            <w:r>
              <w:t>Element 3 (Operationele Controle)</w:t>
            </w:r>
          </w:p>
        </w:tc>
        <w:tc>
          <w:tcPr>
            <w:tcW w:type="dxa" w:w="1728"/>
          </w:tcPr>
          <w:p>
            <w:r>
              <w:t>30</w:t>
            </w:r>
          </w:p>
        </w:tc>
        <w:tc>
          <w:tcPr>
            <w:tcW w:type="dxa" w:w="1728"/>
          </w:tcPr>
          <w:p>
            <w:r>
              <w:t>97.4%</w:t>
            </w:r>
          </w:p>
        </w:tc>
        <w:tc>
          <w:tcPr>
            <w:tcW w:type="dxa" w:w="1728"/>
          </w:tcPr>
          <w:p>
            <w:r>
              <w:t>88.9%</w:t>
            </w:r>
          </w:p>
        </w:tc>
        <w:tc>
          <w:tcPr>
            <w:tcW w:type="dxa" w:w="1728"/>
          </w:tcPr>
          <w:p>
            <w:r>
              <w:t>PASS</w:t>
            </w:r>
          </w:p>
        </w:tc>
      </w:tr>
      <w:tr>
        <w:tc>
          <w:tcPr>
            <w:tcW w:type="dxa" w:w="1728"/>
          </w:tcPr>
          <w:p>
            <w:r>
              <w:t>Element 4 (Noodplan &amp; Incidenten)</w:t>
            </w:r>
          </w:p>
        </w:tc>
        <w:tc>
          <w:tcPr>
            <w:tcW w:type="dxa" w:w="1728"/>
          </w:tcPr>
          <w:p>
            <w:r>
              <w:t>30</w:t>
            </w:r>
          </w:p>
        </w:tc>
        <w:tc>
          <w:tcPr>
            <w:tcW w:type="dxa" w:w="1728"/>
          </w:tcPr>
          <w:p>
            <w:r>
              <w:t>98.5%</w:t>
            </w:r>
          </w:p>
        </w:tc>
        <w:tc>
          <w:tcPr>
            <w:tcW w:type="dxa" w:w="1728"/>
          </w:tcPr>
          <w:p>
            <w:r>
              <w:t>77.8%</w:t>
            </w:r>
          </w:p>
        </w:tc>
        <w:tc>
          <w:tcPr>
            <w:tcW w:type="dxa" w:w="1728"/>
          </w:tcPr>
          <w:p>
            <w:r>
              <w:t>PASS</w:t>
            </w:r>
          </w:p>
        </w:tc>
      </w:tr>
      <w:tr>
        <w:tc>
          <w:tcPr>
            <w:tcW w:type="dxa" w:w="1728"/>
          </w:tcPr>
          <w:p>
            <w:r>
              <w:t>Element 5 (Management of Change)</w:t>
            </w:r>
          </w:p>
        </w:tc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100.0%</w:t>
            </w:r>
          </w:p>
        </w:tc>
        <w:tc>
          <w:tcPr>
            <w:tcW w:type="dxa" w:w="1728"/>
          </w:tcPr>
          <w:p>
            <w:r>
              <w:t>100.0%</w:t>
            </w:r>
          </w:p>
        </w:tc>
        <w:tc>
          <w:tcPr>
            <w:tcW w:type="dxa" w:w="1728"/>
          </w:tcPr>
          <w:p>
            <w:r>
              <w:t>PASS</w:t>
            </w:r>
          </w:p>
        </w:tc>
      </w:tr>
      <w:tr>
        <w:tc>
          <w:tcPr>
            <w:tcW w:type="dxa" w:w="1728"/>
          </w:tcPr>
          <w:p>
            <w:r>
              <w:t>Element 6 (Audit &amp; Monitoring)</w:t>
            </w:r>
          </w:p>
        </w:tc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95.2%</w:t>
            </w:r>
          </w:p>
        </w:tc>
        <w:tc>
          <w:tcPr>
            <w:tcW w:type="dxa" w:w="1728"/>
          </w:tcPr>
          <w:p>
            <w:r>
              <w:t>88.9%</w:t>
            </w:r>
          </w:p>
        </w:tc>
        <w:tc>
          <w:tcPr>
            <w:tcW w:type="dxa" w:w="1728"/>
          </w:tcPr>
          <w:p>
            <w:r>
              <w:t>PASS</w:t>
            </w:r>
          </w:p>
        </w:tc>
      </w:tr>
      <w:tr>
        <w:tc>
          <w:tcPr>
            <w:tcW w:type="dxa" w:w="1728"/>
          </w:tcPr>
          <w:p>
            <w:r>
              <w:t>Element 7 (Controle &amp; Analyse)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100.0%</w:t>
            </w:r>
          </w:p>
        </w:tc>
        <w:tc>
          <w:tcPr>
            <w:tcW w:type="dxa" w:w="1728"/>
          </w:tcPr>
          <w:p>
            <w:r>
              <w:t>100.0%</w:t>
            </w:r>
          </w:p>
        </w:tc>
        <w:tc>
          <w:tcPr>
            <w:tcW w:type="dxa" w:w="1728"/>
          </w:tcPr>
          <w:p>
            <w:r>
              <w:t>PASS</w:t>
            </w:r>
          </w:p>
        </w:tc>
      </w:tr>
      <w:tr>
        <w:tc>
          <w:tcPr>
            <w:tcW w:type="dxa" w:w="1728"/>
          </w:tcPr>
          <w:p>
            <w:r>
              <w:t>Master / Overige</w:t>
            </w:r>
          </w:p>
        </w:tc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95.2%</w:t>
            </w:r>
          </w:p>
        </w:tc>
        <w:tc>
          <w:tcPr>
            <w:tcW w:type="dxa" w:w="1728"/>
          </w:tcPr>
          <w:p>
            <w:r>
              <w:t>88.9%</w:t>
            </w:r>
          </w:p>
        </w:tc>
        <w:tc>
          <w:tcPr>
            <w:tcW w:type="dxa" w:w="1728"/>
          </w:tcPr>
          <w:p>
            <w:r>
              <w:t>PASS</w:t>
            </w:r>
          </w:p>
        </w:tc>
      </w:tr>
    </w:tbl>
    <w:p/>
    <w:p>
      <w:pPr>
        <w:pStyle w:val="Heading1"/>
      </w:pPr>
      <w:r>
        <w:t>5. Resterende bevindingen</w:t>
      </w:r>
    </w:p>
    <w:p>
      <w:r>
        <w:t>Er zijn 2 documenten met WARN status:</w:t>
      </w:r>
    </w:p>
    <w:p>
      <w:pPr>
        <w:pStyle w:val="ListBullet"/>
      </w:pPr>
      <w:r>
        <w:t>• PM_VBS02_03_Risicomatrix_v1.0.docx — Ontbrekend: Footer, Calibri</w:t>
      </w:r>
    </w:p>
    <w:p>
      <w:pPr>
        <w:pStyle w:val="ListBullet"/>
      </w:pPr>
      <w:r>
        <w:t>• PM_VBS04_08_Formulierenpakket_v1.0.docx — Ontbrekend: Footer, ≥30 paragr.</w:t>
      </w:r>
    </w:p>
    <w:p/>
    <w:p>
      <w:pPr>
        <w:pStyle w:val="Heading1"/>
      </w:pPr>
      <w:r>
        <w:t>6. Conclusie</w:t>
      </w:r>
    </w:p>
    <w:p>
      <w:r>
        <w:t>De her-audit van alle 153 VBS-documenten toont een dramatische verbetering ten opzichte van de initiële audit (83,7% → 98.1%). Van de 153 gecontroleerde documenten behaalden 151 documenten PASS status (98.7%), 2 behaalden WARN status en 0 behaalden FAIL status.</w:t>
      </w:r>
    </w:p>
    <w:p>
      <w:r>
        <w:t>De twee overgebleven WARN-documenten (PM_VBS02_03_Risicomatrix_v1.0 en PM_VBS04_08_Formulierenpakket_v1.0) betreffen oudere versies die inmiddels zijn opgevolgd door nieuwere versies die wel volledig PASS scoren. Deze kunnen worden gearchiveerd.</w:t>
      </w:r>
    </w:p>
    <w:p>
      <w:r>
        <w:t>Conclusie: Het VBS-documentatiepakket van Phoenix Metals voldoet na de QC fixes ruim aan de Golden Standard van JvG Consultancy. Het kwaliteitsniveau is toereikend voor formele indiening.</w:t>
      </w:r>
    </w:p>
    <w:sectPr w:rsidR="00FC693F" w:rsidRPr="0006063C" w:rsidSect="00034616">
      <w:footerReference w:type="default" r:id="rId10"/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6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00336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Calibri" w:hAnsi="Calibri"/>
      <w:color w:val="00336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Calibri" w:hAnsi="Calibri"/>
      <w:i/>
      <w:iCs/>
      <w:color w:val="00336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Relationship Id="rId11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