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Phoenix Metals VBS</w:t>
      </w:r>
    </w:p>
    <w:p>
      <w:pPr>
        <w:jc w:val="center"/>
      </w:pPr>
      <w:r>
        <w:rPr>
          <w:rFonts w:ascii="Calibri" w:hAnsi="Calibri"/>
          <w:color w:val="003366"/>
          <w:sz w:val="36"/>
        </w:rPr>
        <w:t>MASTER Implementatie Checklist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Phoenix Metals Veiligheidsbeheerssysteem (VBS)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Implementatie Checklist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2026-04-29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Documentbeheersing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Versie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Datum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Auteur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Wijziging</w:t>
            </w:r>
          </w:p>
        </w:tc>
      </w:tr>
      <w:tr>
        <w:tc>
          <w:tcPr>
            <w:tcW w:type="dxa" w:w="2351"/>
          </w:tcPr>
          <w:p>
            <w:r>
              <w:t>1.0</w:t>
            </w:r>
          </w:p>
        </w:tc>
        <w:tc>
          <w:tcPr>
            <w:tcW w:type="dxa" w:w="2351"/>
          </w:tcPr>
          <w:p>
            <w:r>
              <w:t>2026-04-29</w:t>
            </w:r>
          </w:p>
        </w:tc>
        <w:tc>
          <w:tcPr>
            <w:tcW w:type="dxa" w:w="2351"/>
          </w:tcPr>
          <w:p>
            <w:r>
              <w:t>JvG Consultancy</w:t>
            </w:r>
          </w:p>
        </w:tc>
        <w:tc>
          <w:tcPr>
            <w:tcW w:type="dxa" w:w="2351"/>
          </w:tcPr>
          <w:p>
            <w:r>
              <w:t>Initiële versie</w:t>
            </w:r>
          </w:p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</w:tbl>
    <w:p>
      <w:pPr>
        <w:pStyle w:val="Heading1"/>
      </w:pPr>
      <w:r>
        <w:rPr>
          <w:color w:val="003366"/>
        </w:rPr>
        <w:t>Inhoudsopgave</w:t>
      </w:r>
    </w:p>
    <w:p>
      <w:r>
        <w:t>1. Inleiding</w:t>
      </w:r>
    </w:p>
    <w:p>
      <w:r>
        <w:t>2. Pre-Implementatie Checklist</w:t>
      </w:r>
    </w:p>
    <w:p>
      <w:r>
        <w:t>3. Implementatie Fasen</w:t>
      </w:r>
    </w:p>
    <w:p>
      <w:r>
        <w:t>4. Per-element Implementatie Acties</w:t>
      </w:r>
    </w:p>
    <w:p>
      <w:r>
        <w:t>5. Post-Implementatie</w:t>
      </w:r>
    </w:p>
    <w:p>
      <w:r>
        <w:t>Bronnenlijst</w:t>
      </w:r>
    </w:p>
    <w:p>
      <w:r>
        <w:t>TierVerify Log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Inleiding</w:t>
      </w:r>
    </w:p>
    <w:p>
      <w:r>
        <w:t>Dit document betreft de implementatiechecklist voor het Veiligheidsbeheerssysteem (VBS) van Phoenix Metals, conform NTA 8620 en BRZO 2015. Het VBS omvat in totaal 79 unieke documenten (inclusief Excel-registers) verdeeld over 7 elementen. De implementatie is gepland in 4 fasen over een periode van 8 weken, gevolgd door een post-implementatie evaluatie na 3 maanden.</w:t>
      </w:r>
    </w:p>
    <w:p>
      <w:pPr>
        <w:pStyle w:val="Heading1"/>
      </w:pPr>
      <w:r>
        <w:rPr>
          <w:color w:val="003366"/>
        </w:rPr>
        <w:t>2. Pre-Implementatie Checklist</w:t>
      </w:r>
    </w:p>
    <w:p>
      <w:r>
        <w:t>De volgende items moeten zijn afgerond VOORDAT de training start: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235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  <w:tc>
          <w:tcPr>
            <w:tcW w:type="dxa" w:w="235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235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Documentbeheersing ingericht (DMS/SharePoint)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Formulieren digitaal beschikbaar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MoC Register in gebruik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Plant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SCE Register gevuld met assets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Plant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1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KPI Dashboard ingericht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1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Compliance Register actueel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1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Audit Programma gepland (jaarkalender)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Training Matrix ingevuld (wie welke module)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HSEQ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0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Communicatie naar alle medewerkers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Plant Manager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1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Management Review data gepland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Directie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☐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Week 2</w:t>
            </w:r>
          </w:p>
        </w:tc>
      </w:tr>
    </w:tbl>
    <w:p>
      <w:pPr>
        <w:pStyle w:val="Heading1"/>
      </w:pPr>
      <w:r>
        <w:rPr>
          <w:color w:val="003366"/>
        </w:rPr>
        <w:t>3. Implementatie Fasen</w:t>
      </w:r>
    </w:p>
    <w:p>
      <w:pPr>
        <w:pStyle w:val="Heading2"/>
      </w:pPr>
      <w:r>
        <w:rPr>
          <w:color w:val="003366"/>
        </w:rPr>
        <w:t>Fase 1 (Week 1-2)</w:t>
      </w:r>
    </w:p>
    <w:p>
      <w:r>
        <w:rPr>
          <w:rFonts w:ascii="Calibri" w:hAnsi="Calibri"/>
          <w:b/>
        </w:rPr>
        <w:t xml:space="preserve">Doelgroep: </w:t>
      </w:r>
      <w:r>
        <w:rPr>
          <w:rFonts w:ascii="Calibri" w:hAnsi="Calibri"/>
        </w:rPr>
        <w:t>Directie + HSEQ Manager</w:t>
      </w:r>
    </w:p>
    <w:p>
      <w:r>
        <w:t>Beleidsdocumenten live, functieprofielen actief, beleid ondertekend door Directie, Management Review procedure geïntroduceerd.</w:t>
      </w:r>
    </w:p>
    <w:p>
      <w:pPr>
        <w:pStyle w:val="Heading2"/>
      </w:pPr>
      <w:r>
        <w:rPr>
          <w:color w:val="003366"/>
        </w:rPr>
        <w:t>Fase 2 (Week 3-4)</w:t>
      </w:r>
    </w:p>
    <w:p>
      <w:r>
        <w:rPr>
          <w:rFonts w:ascii="Calibri" w:hAnsi="Calibri"/>
          <w:b/>
        </w:rPr>
        <w:t xml:space="preserve">Doelgroep: </w:t>
      </w:r>
      <w:r>
        <w:rPr>
          <w:rFonts w:ascii="Calibri" w:hAnsi="Calibri"/>
        </w:rPr>
        <w:t>Plant Manager + Supervisors</w:t>
      </w:r>
    </w:p>
    <w:p>
      <w:r>
        <w:t>Operationele procedures actief, CoW formulieren in gebruik, risicomatrix besproken, SCE register gevuld.</w:t>
      </w:r>
    </w:p>
    <w:p>
      <w:pPr>
        <w:pStyle w:val="Heading2"/>
      </w:pPr>
      <w:r>
        <w:rPr>
          <w:color w:val="003366"/>
        </w:rPr>
        <w:t>Fase 3 (Week 5-6)</w:t>
      </w:r>
    </w:p>
    <w:p>
      <w:r>
        <w:rPr>
          <w:rFonts w:ascii="Calibri" w:hAnsi="Calibri"/>
          <w:b/>
        </w:rPr>
        <w:t xml:space="preserve">Doelgroep: </w:t>
      </w:r>
      <w:r>
        <w:rPr>
          <w:rFonts w:ascii="Calibri" w:hAnsi="Calibri"/>
        </w:rPr>
        <w:t>Alle medewerkers</w:t>
      </w:r>
    </w:p>
    <w:p>
      <w:r>
        <w:t>Formulieren in gebruik (CoW, heet werk, hoogte), noodoefening gepland, BHV roster actief, toolbox meetings gestart.</w:t>
      </w:r>
    </w:p>
    <w:p>
      <w:pPr>
        <w:pStyle w:val="Heading2"/>
      </w:pPr>
      <w:r>
        <w:rPr>
          <w:color w:val="003366"/>
        </w:rPr>
        <w:t>Fase 4 (Week 7-8)</w:t>
      </w:r>
    </w:p>
    <w:p>
      <w:r>
        <w:rPr>
          <w:rFonts w:ascii="Calibri" w:hAnsi="Calibri"/>
          <w:b/>
        </w:rPr>
        <w:t xml:space="preserve">Doelgroep: </w:t>
      </w:r>
      <w:r>
        <w:rPr>
          <w:rFonts w:ascii="Calibri" w:hAnsi="Calibri"/>
        </w:rPr>
        <w:t>Onderaannemers + first audit cycle</w:t>
      </w:r>
    </w:p>
    <w:p>
      <w:r>
        <w:t>Onderaannemersprocedure geïmplementeerd, eerste interne audit uitgevoerd, CAPA register geopend.</w:t>
      </w:r>
    </w:p>
    <w:p>
      <w:pPr>
        <w:pStyle w:val="Heading1"/>
      </w:pPr>
      <w:r>
        <w:rPr>
          <w:color w:val="003366"/>
        </w:rPr>
        <w:t>4. Per-element Implementatie Acties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188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Documenten</w:t>
            </w:r>
          </w:p>
        </w:tc>
        <w:tc>
          <w:tcPr>
            <w:tcW w:type="dxa" w:w="188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Eerste actie</w:t>
            </w:r>
          </w:p>
        </w:tc>
        <w:tc>
          <w:tcPr>
            <w:tcW w:type="dxa" w:w="188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Eigenaar</w:t>
            </w:r>
          </w:p>
        </w:tc>
        <w:tc>
          <w:tcPr>
            <w:tcW w:type="dxa" w:w="1881"/>
            <w:shd w:val="clear" w:color="auto" w:fill="003366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Tools/benodigdheden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19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Beleid ondertekenen, functiebeschrijvingen, training matrix invullen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Directie / HSEQ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DMS, SharePoint, HR systeem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E2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24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RI&amp;E actualiseren, risicomatrix invullen, MASC's bevestigen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HSEQ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RI&amp;E tool, risicomatrix template, HAZOP software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18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CoW formulieren live, LOTO procedures opstellen, SCE register vullen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Plant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CoW systeem, LOTO locks/tags, asset register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17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Noodplan actualiseren, BHV roster, oefenkalender plannen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HSEQ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Noodplan template, BHV planning, oefenkalender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E5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11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MoC procedure starten, eerste MoC aanvraag, register openen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Plant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MoC formulier, classificatiematrix, registratiesysteem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13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Audit kalender plannen, KPI baselines vaststellen, CAPA register openen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HSEQ Manager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Audit checklist, KPI dashboard, CAPA formulier</w:t>
            </w:r>
          </w:p>
        </w:tc>
      </w:tr>
      <w:tr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E7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6 docs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Evaluatiecyclus starten, volwassenheidsscore (baseline), eerste trendrapport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Directie</w:t>
            </w:r>
          </w:p>
        </w:tc>
        <w:tc>
          <w:tcPr>
            <w:tcW w:type="dxa" w:w="1881"/>
          </w:tcPr>
          <w:p>
            <w:r>
              <w:rPr>
                <w:rFonts w:ascii="Calibri" w:hAnsi="Calibri"/>
                <w:sz w:val="18"/>
              </w:rPr>
              <w:t>Volwassenheidsmodel, trendanalyse template</w:t>
            </w:r>
          </w:p>
        </w:tc>
      </w:tr>
    </w:tbl>
    <w:p>
      <w:pPr>
        <w:pStyle w:val="Heading1"/>
      </w:pPr>
      <w:r>
        <w:rPr>
          <w:color w:val="003366"/>
        </w:rPr>
        <w:t>5. Post-Implementatie (na 3 maanden)</w:t>
      </w:r>
    </w:p>
    <w:p>
      <w:pPr>
        <w:pStyle w:val="ListBullet"/>
      </w:pPr>
      <w:r>
        <w:t>Eerste interne audit — volledige VBS audit tegen NTA 8620 checklist</w:t>
      </w:r>
    </w:p>
    <w:p>
      <w:pPr>
        <w:pStyle w:val="ListBullet"/>
      </w:pPr>
      <w:r>
        <w:t>KPI evaluatie — baseline meten en eerste trends analyseren</w:t>
      </w:r>
    </w:p>
    <w:p>
      <w:pPr>
        <w:pStyle w:val="ListBullet"/>
      </w:pPr>
      <w:r>
        <w:t>Training effectiviteit toets — competentie assessments afnemen</w:t>
      </w:r>
    </w:p>
    <w:p>
      <w:pPr>
        <w:pStyle w:val="ListBullet"/>
      </w:pPr>
      <w:r>
        <w:t>Management Review #1 — resultaten presenteren aan Directie</w:t>
      </w:r>
    </w:p>
    <w:p>
      <w:r>
        <w:br w:type="page"/>
      </w:r>
    </w:p>
    <w:p>
      <w:pPr>
        <w:pStyle w:val="Heading1"/>
      </w:pPr>
      <w:r>
        <w:rPr>
          <w:color w:val="003366"/>
        </w:rPr>
        <w:t>Bronnenlijst</w:t>
      </w:r>
    </w:p>
    <w:p>
      <w:r>
        <w:t>[1] NTA 8620:2020 — Veiligheidsbeheerssystemen voor Seveso-inrichtingen</w:t>
      </w:r>
    </w:p>
    <w:p>
      <w:r>
        <w:t>[2] BRZO 2015 — Besluit risico's zware ongevallen</w:t>
      </w:r>
    </w:p>
    <w:p>
      <w:r>
        <w:t>[3] ISO 45001:2018 — Occupational health and safety management systems</w:t>
      </w:r>
    </w:p>
    <w:p>
      <w:r>
        <w:t>[4] ISO 14001:2015 — Environmental management systems</w:t>
      </w:r>
    </w:p>
    <w:p>
      <w:r>
        <w:t>[5] Arbowet — Arbeidsomstandighedenwet</w:t>
      </w:r>
    </w:p>
    <w:p>
      <w:pPr>
        <w:pStyle w:val="Heading1"/>
      </w:pPr>
      <w:r>
        <w:rPr>
          <w:color w:val="003366"/>
        </w:rPr>
        <w:t>TierVerify Log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Check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Bron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Status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b/>
              </w:rPr>
              <w:t>Opmerking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Documentcompleetheid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Master Register XLSX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Alle elementen gedekt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BRZO referenties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NTA 8620 / BRZO 2015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Per element toegewezen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Eigenaarschap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Rollenmatrix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 rollen, 3 personen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Versiebeheer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Bestandsscan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Laatste versie geregistreerd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Review planning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Kwartaalplanning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4 kwartalen verdeeld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Brondocumenten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Element 1-7 deliverables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Bestanden fysiek aanwezig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