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Pr>
        <w:jc w:val="center"/>
      </w:pPr>
      <w:r>
        <w:rPr>
          <w:rFonts w:ascii="Calibri" w:hAnsi="Calibri"/>
          <w:b/>
          <w:color w:val="003366"/>
          <w:sz w:val="56"/>
        </w:rPr>
        <w:t>Document Management Systeem (DMS)</w:t>
      </w:r>
    </w:p>
    <w:p>
      <w:pPr>
        <w:jc w:val="center"/>
      </w:pPr>
      <w:r>
        <w:rPr>
          <w:rFonts w:ascii="Calibri" w:hAnsi="Calibri"/>
          <w:color w:val="1F2937"/>
          <w:sz w:val="32"/>
        </w:rPr>
        <w:t>Phoenix Metals VBS — Procedure &amp; Richtlijnen</w:t>
      </w:r>
    </w:p>
    <w:p/>
    <w:p>
      <w:pPr>
        <w:pStyle w:val="Heading2"/>
      </w:pPr>
      <w:r>
        <w:rPr>
          <w:rFonts w:ascii="Calibri" w:hAnsi="Calibri"/>
          <w:color w:val="003366"/>
        </w:rPr>
        <w:t>Documentbeheersing</w:t>
      </w:r>
    </w:p>
    <w:tbl>
      <w:tblPr>
        <w:tblStyle w:val="TableGrid"/>
        <w:tblW w:type="auto" w:w="0"/>
        <w:jc w:val="center"/>
        <w:tblLook w:firstColumn="1" w:firstRow="1" w:lastColumn="0" w:lastRow="0" w:noHBand="0" w:noVBand="1" w:val="04A0"/>
      </w:tblPr>
      <w:tblGrid>
        <w:gridCol w:w="4703"/>
        <w:gridCol w:w="4703"/>
      </w:tblGrid>
      <w:tr>
        <w:tc>
          <w:tcPr>
            <w:tcW w:type="dxa" w:w="4703"/>
            <w:shd w:fill="003366" w:val="clear"/>
          </w:tcPr>
          <w:p>
            <w:pPr>
              <w:jc w:val="left"/>
            </w:pPr>
            <w:r/>
            <w:r>
              <w:rPr>
                <w:rFonts w:ascii="Calibri" w:hAnsi="Calibri"/>
                <w:b/>
                <w:color w:val="FFFFFF"/>
                <w:sz w:val="20"/>
              </w:rPr>
              <w:t>Veld</w:t>
            </w:r>
          </w:p>
        </w:tc>
        <w:tc>
          <w:tcPr>
            <w:tcW w:type="dxa" w:w="4703"/>
            <w:shd w:fill="003366" w:val="clear"/>
          </w:tcPr>
          <w:p>
            <w:pPr>
              <w:jc w:val="left"/>
            </w:pPr>
            <w:r/>
            <w:r>
              <w:rPr>
                <w:rFonts w:ascii="Calibri" w:hAnsi="Calibri"/>
                <w:b/>
                <w:color w:val="FFFFFF"/>
                <w:sz w:val="20"/>
              </w:rPr>
              <w:t>Waarde</w:t>
            </w:r>
          </w:p>
        </w:tc>
      </w:tr>
      <w:tr>
        <w:tc>
          <w:tcPr>
            <w:tcW w:type="dxa" w:w="4703"/>
          </w:tcPr>
          <w:p>
            <w:r/>
            <w:r>
              <w:rPr>
                <w:rFonts w:ascii="Calibri" w:hAnsi="Calibri"/>
                <w:sz w:val="20"/>
              </w:rPr>
              <w:t>Project</w:t>
            </w:r>
          </w:p>
        </w:tc>
        <w:tc>
          <w:tcPr>
            <w:tcW w:type="dxa" w:w="4703"/>
          </w:tcPr>
          <w:p>
            <w:r/>
            <w:r>
              <w:rPr>
                <w:rFonts w:ascii="Calibri" w:hAnsi="Calibri"/>
                <w:sz w:val="20"/>
              </w:rPr>
              <w:t>Phoenix Metals VBS — Veiligheidsbewijzenstelsel</w:t>
            </w:r>
          </w:p>
        </w:tc>
      </w:tr>
      <w:tr>
        <w:tc>
          <w:tcPr>
            <w:tcW w:type="dxa" w:w="4703"/>
            <w:shd w:fill="F8F9FA" w:val="clear"/>
          </w:tcPr>
          <w:p>
            <w:r/>
            <w:r>
              <w:rPr>
                <w:rFonts w:ascii="Calibri" w:hAnsi="Calibri"/>
                <w:sz w:val="20"/>
              </w:rPr>
              <w:t>Document</w:t>
            </w:r>
          </w:p>
        </w:tc>
        <w:tc>
          <w:tcPr>
            <w:tcW w:type="dxa" w:w="4703"/>
            <w:shd w:fill="F8F9FA" w:val="clear"/>
          </w:tcPr>
          <w:p>
            <w:r/>
            <w:r>
              <w:rPr>
                <w:rFonts w:ascii="Calibri" w:hAnsi="Calibri"/>
                <w:sz w:val="20"/>
              </w:rPr>
              <w:t>PM_VBS_DMS_Procedure</w:t>
            </w:r>
          </w:p>
        </w:tc>
      </w:tr>
      <w:tr>
        <w:tc>
          <w:tcPr>
            <w:tcW w:type="dxa" w:w="4703"/>
          </w:tcPr>
          <w:p>
            <w:r/>
            <w:r>
              <w:rPr>
                <w:rFonts w:ascii="Calibri" w:hAnsi="Calibri"/>
                <w:sz w:val="20"/>
              </w:rPr>
              <w:t>Versie</w:t>
            </w:r>
          </w:p>
        </w:tc>
        <w:tc>
          <w:tcPr>
            <w:tcW w:type="dxa" w:w="4703"/>
          </w:tcPr>
          <w:p>
            <w:r/>
            <w:r>
              <w:rPr>
                <w:rFonts w:ascii="Calibri" w:hAnsi="Calibri"/>
                <w:sz w:val="20"/>
              </w:rPr>
              <w:t>1.0</w:t>
            </w:r>
          </w:p>
        </w:tc>
      </w:tr>
      <w:tr>
        <w:tc>
          <w:tcPr>
            <w:tcW w:type="dxa" w:w="4703"/>
            <w:shd w:fill="F8F9FA" w:val="clear"/>
          </w:tcPr>
          <w:p>
            <w:r/>
            <w:r>
              <w:rPr>
                <w:rFonts w:ascii="Calibri" w:hAnsi="Calibri"/>
                <w:sz w:val="20"/>
              </w:rPr>
              <w:t>Datum</w:t>
            </w:r>
          </w:p>
        </w:tc>
        <w:tc>
          <w:tcPr>
            <w:tcW w:type="dxa" w:w="4703"/>
            <w:shd w:fill="F8F9FA" w:val="clear"/>
          </w:tcPr>
          <w:p>
            <w:r/>
            <w:r>
              <w:rPr>
                <w:rFonts w:ascii="Calibri" w:hAnsi="Calibri"/>
                <w:sz w:val="20"/>
              </w:rPr>
              <w:t>2026-04-29</w:t>
            </w:r>
          </w:p>
        </w:tc>
      </w:tr>
      <w:tr>
        <w:tc>
          <w:tcPr>
            <w:tcW w:type="dxa" w:w="4703"/>
          </w:tcPr>
          <w:p>
            <w:r/>
            <w:r>
              <w:rPr>
                <w:rFonts w:ascii="Calibri" w:hAnsi="Calibri"/>
                <w:sz w:val="20"/>
              </w:rPr>
              <w:t>Auteur</w:t>
            </w:r>
          </w:p>
        </w:tc>
        <w:tc>
          <w:tcPr>
            <w:tcW w:type="dxa" w:w="4703"/>
          </w:tcPr>
          <w:p>
            <w:r/>
            <w:r>
              <w:rPr>
                <w:rFonts w:ascii="Calibri" w:hAnsi="Calibri"/>
                <w:sz w:val="20"/>
              </w:rPr>
              <w:t>HSEQ Manager Jorick</w:t>
            </w:r>
          </w:p>
        </w:tc>
      </w:tr>
      <w:tr>
        <w:tc>
          <w:tcPr>
            <w:tcW w:type="dxa" w:w="4703"/>
            <w:shd w:fill="F8F9FA" w:val="clear"/>
          </w:tcPr>
          <w:p>
            <w:r/>
            <w:r>
              <w:rPr>
                <w:rFonts w:ascii="Calibri" w:hAnsi="Calibri"/>
                <w:sz w:val="20"/>
              </w:rPr>
              <w:t>Status</w:t>
            </w:r>
          </w:p>
        </w:tc>
        <w:tc>
          <w:tcPr>
            <w:tcW w:type="dxa" w:w="4703"/>
            <w:shd w:fill="F8F9FA" w:val="clear"/>
          </w:tcPr>
          <w:p>
            <w:r/>
            <w:r>
              <w:rPr>
                <w:rFonts w:ascii="Calibri" w:hAnsi="Calibri"/>
                <w:sz w:val="20"/>
              </w:rPr>
              <w:t>Final</w:t>
            </w:r>
          </w:p>
        </w:tc>
      </w:tr>
      <w:tr>
        <w:tc>
          <w:tcPr>
            <w:tcW w:type="dxa" w:w="4703"/>
          </w:tcPr>
          <w:p>
            <w:r/>
            <w:r>
              <w:rPr>
                <w:rFonts w:ascii="Calibri" w:hAnsi="Calibri"/>
                <w:sz w:val="20"/>
              </w:rPr>
              <w:t>Classificatie</w:t>
            </w:r>
          </w:p>
        </w:tc>
        <w:tc>
          <w:tcPr>
            <w:tcW w:type="dxa" w:w="4703"/>
          </w:tcPr>
          <w:p>
            <w:r/>
            <w:r>
              <w:rPr>
                <w:rFonts w:ascii="Calibri" w:hAnsi="Calibri"/>
                <w:sz w:val="20"/>
              </w:rPr>
              <w:t>Vertrouwelijk — Intern</w:t>
            </w:r>
          </w:p>
        </w:tc>
      </w:tr>
    </w:tbl>
    <w:p/>
    <w:p>
      <w:pPr>
        <w:pStyle w:val="Heading3"/>
      </w:pPr>
      <w:r>
        <w:rPr>
          <w:rFonts w:ascii="Calibri" w:hAnsi="Calibri"/>
          <w:color w:val="003366"/>
        </w:rPr>
        <w:t>Wijzigingsgeschiedenis</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Versie</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Wijziging</w:t>
            </w:r>
          </w:p>
        </w:tc>
        <w:tc>
          <w:tcPr>
            <w:tcW w:type="dxa" w:w="2351"/>
            <w:shd w:fill="003366" w:val="clear"/>
          </w:tcPr>
          <w:p>
            <w:pPr>
              <w:jc w:val="left"/>
            </w:pPr>
            <w:r/>
            <w:r>
              <w:rPr>
                <w:rFonts w:ascii="Calibri" w:hAnsi="Calibri"/>
                <w:b/>
                <w:color w:val="FFFFFF"/>
                <w:sz w:val="20"/>
              </w:rPr>
              <w:t>Auteur</w:t>
            </w:r>
          </w:p>
        </w:tc>
      </w:tr>
      <w:tr>
        <w:tc>
          <w:tcPr>
            <w:tcW w:type="dxa" w:w="2351"/>
          </w:tcPr>
          <w:p>
            <w:r/>
            <w:r>
              <w:rPr>
                <w:rFonts w:ascii="Calibri" w:hAnsi="Calibri"/>
                <w:sz w:val="20"/>
              </w:rPr>
              <w:t>1.0</w:t>
            </w:r>
          </w:p>
        </w:tc>
        <w:tc>
          <w:tcPr>
            <w:tcW w:type="dxa" w:w="2351"/>
          </w:tcPr>
          <w:p>
            <w:r/>
            <w:r>
              <w:rPr>
                <w:rFonts w:ascii="Calibri" w:hAnsi="Calibri"/>
                <w:sz w:val="20"/>
              </w:rPr>
              <w:t>2026-04-29</w:t>
            </w:r>
          </w:p>
        </w:tc>
        <w:tc>
          <w:tcPr>
            <w:tcW w:type="dxa" w:w="2351"/>
          </w:tcPr>
          <w:p>
            <w:r/>
            <w:r>
              <w:rPr>
                <w:rFonts w:ascii="Calibri" w:hAnsi="Calibri"/>
                <w:sz w:val="20"/>
              </w:rPr>
              <w:t>Eerste uitgave DMS Procedure</w:t>
            </w:r>
          </w:p>
        </w:tc>
        <w:tc>
          <w:tcPr>
            <w:tcW w:type="dxa" w:w="2351"/>
          </w:tcPr>
          <w:p>
            <w:r/>
            <w:r>
              <w:rPr>
                <w:rFonts w:ascii="Calibri" w:hAnsi="Calibri"/>
                <w:sz w:val="20"/>
              </w:rPr>
              <w:t>HSEQ Manager Jorick</w:t>
            </w:r>
          </w:p>
        </w:tc>
      </w:tr>
    </w:tbl>
    <w:p>
      <w:r>
        <w:br w:type="page"/>
      </w:r>
    </w:p>
    <w:p>
      <w:pPr>
        <w:pStyle w:val="Heading1"/>
      </w:pPr>
      <w:r>
        <w:rPr>
          <w:rFonts w:ascii="Calibri" w:hAnsi="Calibri"/>
          <w:color w:val="003366"/>
        </w:rPr>
        <w:t>Inhoudsopgave</w:t>
      </w:r>
    </w:p>
    <w:p>
      <w:pPr>
        <w:spacing w:after="80"/>
      </w:pPr>
      <w:r>
        <w:t>1. Inleiding</w:t>
      </w:r>
    </w:p>
    <w:p>
      <w:pPr>
        <w:spacing w:after="80"/>
      </w:pPr>
      <w:r>
        <w:t>2. Documenthiërarchie</w:t>
      </w:r>
    </w:p>
    <w:p>
      <w:pPr>
        <w:spacing w:after="80"/>
      </w:pPr>
      <w:r>
        <w:t>3. Documentlevenscyclus</w:t>
      </w:r>
    </w:p>
    <w:p>
      <w:pPr>
        <w:spacing w:after="80"/>
      </w:pPr>
      <w:r>
        <w:t>4. Versiebeheer</w:t>
      </w:r>
    </w:p>
    <w:p>
      <w:pPr>
        <w:spacing w:after="80"/>
      </w:pPr>
      <w:r>
        <w:t>5. Nummeringssysteem</w:t>
      </w:r>
    </w:p>
    <w:p>
      <w:pPr>
        <w:spacing w:after="80"/>
      </w:pPr>
      <w:r>
        <w:t>6. Review &amp; Goedkeuringsmatrix</w:t>
      </w:r>
    </w:p>
    <w:p>
      <w:pPr>
        <w:spacing w:after="80"/>
      </w:pPr>
      <w:r>
        <w:t>7. Distributie &amp; Toegang</w:t>
      </w:r>
    </w:p>
    <w:p>
      <w:pPr>
        <w:spacing w:after="80"/>
      </w:pPr>
      <w:r>
        <w:t>8. Opslagstructuur</w:t>
      </w:r>
    </w:p>
    <w:p>
      <w:pPr>
        <w:spacing w:after="80"/>
      </w:pPr>
      <w:r>
        <w:t>9. Kwaliteitscontrole</w:t>
      </w:r>
    </w:p>
    <w:p>
      <w:pPr>
        <w:spacing w:after="80"/>
      </w:pPr>
      <w:r>
        <w:t>10. Record Retention</w:t>
      </w:r>
    </w:p>
    <w:p>
      <w:pPr>
        <w:spacing w:after="80"/>
      </w:pPr>
      <w:r>
        <w:t>Bronnenlijst</w:t>
      </w:r>
    </w:p>
    <w:p>
      <w:pPr>
        <w:spacing w:after="80"/>
      </w:pPr>
      <w:r>
        <w:t>TierVerify Log</w:t>
      </w:r>
    </w:p>
    <w:p>
      <w:r>
        <w:br w:type="page"/>
      </w:r>
    </w:p>
    <w:p>
      <w:pPr>
        <w:pStyle w:val="Heading1"/>
      </w:pPr>
      <w:r>
        <w:rPr>
          <w:rFonts w:ascii="Calibri" w:hAnsi="Calibri"/>
          <w:color w:val="003366"/>
        </w:rPr>
        <w:t>1. Inleiding</w:t>
      </w:r>
    </w:p>
    <w:p>
      <w:r>
        <w:t>Deze procedure beschrijft het Document Management Systeem (DMS) voor het Veiligheidsbewijzenstelsel (VBS) van Phoenix Metals. Het VBS omvat 82+ documenten verdeeld over 7 elementen conform NTA 8620 [1]. Een gestructureerd DMS is essentieel om documentintegriteit, traceerbaarheid en naleving van Arbowetgeving te waarborgen [2].</w:t>
      </w:r>
    </w:p>
    <w:p>
      <w:r>
        <w:t>Doel: Een eenduidig kader voor het creëren, beheren, distribueren en archiveren van alle VBS-documenten, zodat elke medewerker te allen tijde beschikt over de juiste, meest actuele informatie.</w:t>
      </w:r>
    </w:p>
    <w:p>
      <w:r>
        <w:t>Toepassingsgebied: Alle documenten binnen het VBS van Phoenix Metals, inclusief beleid, procedures, werkinstructies, formulieren, registers en rapporten.</w:t>
      </w:r>
    </w:p>
    <w:p>
      <w:pPr>
        <w:pStyle w:val="Heading1"/>
      </w:pPr>
      <w:r>
        <w:rPr>
          <w:rFonts w:ascii="Calibri" w:hAnsi="Calibri"/>
          <w:color w:val="003366"/>
        </w:rPr>
        <w:t>2. Documenthiërarchie</w:t>
      </w:r>
    </w:p>
    <w:p>
      <w:r>
        <w:t>Het VBS kent vijf documentniveaus, elk met een eigen goedkeuringsbevoegdheid, reviewfrequentie en distributiemethode. Deze hiërarchie waarborgt dat strategische documenten op het hoogste niveau worden goedgekeurd, terwijl operationele documenten flexibeler kunnen worden beheerd.</w:t>
      </w:r>
    </w:p>
    <w:p>
      <w:pPr>
        <w:pStyle w:val="Heading2"/>
      </w:pPr>
      <w:r>
        <w:rPr>
          <w:rFonts w:ascii="Calibri" w:hAnsi="Calibri"/>
          <w:color w:val="003366"/>
        </w:rPr>
        <w:t>2.1 Niveaus</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val="clear"/>
          </w:tcPr>
          <w:p>
            <w:pPr>
              <w:jc w:val="left"/>
            </w:pPr>
            <w:r/>
            <w:r>
              <w:rPr>
                <w:rFonts w:ascii="Calibri" w:hAnsi="Calibri"/>
                <w:b/>
                <w:color w:val="FFFFFF"/>
                <w:sz w:val="20"/>
              </w:rPr>
              <w:t>Niveau</w:t>
            </w:r>
          </w:p>
        </w:tc>
        <w:tc>
          <w:tcPr>
            <w:tcW w:type="dxa" w:w="1881"/>
            <w:shd w:fill="003366" w:val="clear"/>
          </w:tcPr>
          <w:p>
            <w:pPr>
              <w:jc w:val="left"/>
            </w:pPr>
            <w:r/>
            <w:r>
              <w:rPr>
                <w:rFonts w:ascii="Calibri" w:hAnsi="Calibri"/>
                <w:b/>
                <w:color w:val="FFFFFF"/>
                <w:sz w:val="20"/>
              </w:rPr>
              <w:t>Documenttype</w:t>
            </w:r>
          </w:p>
        </w:tc>
        <w:tc>
          <w:tcPr>
            <w:tcW w:type="dxa" w:w="1881"/>
            <w:shd w:fill="003366" w:val="clear"/>
          </w:tcPr>
          <w:p>
            <w:pPr>
              <w:jc w:val="left"/>
            </w:pPr>
            <w:r/>
            <w:r>
              <w:rPr>
                <w:rFonts w:ascii="Calibri" w:hAnsi="Calibri"/>
                <w:b/>
                <w:color w:val="FFFFFF"/>
                <w:sz w:val="20"/>
              </w:rPr>
              <w:t>Goedkeuring</w:t>
            </w:r>
          </w:p>
        </w:tc>
        <w:tc>
          <w:tcPr>
            <w:tcW w:type="dxa" w:w="1881"/>
            <w:shd w:fill="003366" w:val="clear"/>
          </w:tcPr>
          <w:p>
            <w:pPr>
              <w:jc w:val="left"/>
            </w:pPr>
            <w:r/>
            <w:r>
              <w:rPr>
                <w:rFonts w:ascii="Calibri" w:hAnsi="Calibri"/>
                <w:b/>
                <w:color w:val="FFFFFF"/>
                <w:sz w:val="20"/>
              </w:rPr>
              <w:t>Reviewfrequentie</w:t>
            </w:r>
          </w:p>
        </w:tc>
        <w:tc>
          <w:tcPr>
            <w:tcW w:type="dxa" w:w="1881"/>
            <w:shd w:fill="003366" w:val="clear"/>
          </w:tcPr>
          <w:p>
            <w:pPr>
              <w:jc w:val="left"/>
            </w:pPr>
            <w:r/>
            <w:r>
              <w:rPr>
                <w:rFonts w:ascii="Calibri" w:hAnsi="Calibri"/>
                <w:b/>
                <w:color w:val="FFFFFF"/>
                <w:sz w:val="20"/>
              </w:rPr>
              <w:t>Distributie</w:t>
            </w:r>
          </w:p>
        </w:tc>
      </w:tr>
      <w:tr>
        <w:tc>
          <w:tcPr>
            <w:tcW w:type="dxa" w:w="1881"/>
          </w:tcPr>
          <w:p>
            <w:r/>
            <w:r>
              <w:rPr>
                <w:rFonts w:ascii="Calibri" w:hAnsi="Calibri"/>
                <w:sz w:val="20"/>
              </w:rPr>
              <w:t>Niveau 1</w:t>
            </w:r>
          </w:p>
        </w:tc>
        <w:tc>
          <w:tcPr>
            <w:tcW w:type="dxa" w:w="1881"/>
          </w:tcPr>
          <w:p>
            <w:r/>
            <w:r>
              <w:rPr>
                <w:rFonts w:ascii="Calibri" w:hAnsi="Calibri"/>
                <w:sz w:val="20"/>
              </w:rPr>
              <w:t>Beleidsdocumenten</w:t>
            </w:r>
          </w:p>
        </w:tc>
        <w:tc>
          <w:tcPr>
            <w:tcW w:type="dxa" w:w="1881"/>
          </w:tcPr>
          <w:p>
            <w:r/>
            <w:r>
              <w:rPr>
                <w:rFonts w:ascii="Calibri" w:hAnsi="Calibri"/>
                <w:sz w:val="20"/>
              </w:rPr>
              <w:t>Directie</w:t>
            </w:r>
          </w:p>
        </w:tc>
        <w:tc>
          <w:tcPr>
            <w:tcW w:type="dxa" w:w="1881"/>
          </w:tcPr>
          <w:p>
            <w:r/>
            <w:r>
              <w:rPr>
                <w:rFonts w:ascii="Calibri" w:hAnsi="Calibri"/>
                <w:sz w:val="20"/>
              </w:rPr>
              <w:t>Jaarlijks</w:t>
            </w:r>
          </w:p>
        </w:tc>
        <w:tc>
          <w:tcPr>
            <w:tcW w:type="dxa" w:w="1881"/>
          </w:tcPr>
          <w:p>
            <w:r/>
            <w:r>
              <w:rPr>
                <w:rFonts w:ascii="Calibri" w:hAnsi="Calibri"/>
                <w:sz w:val="20"/>
              </w:rPr>
              <w:t>Volledige organisatie</w:t>
            </w:r>
          </w:p>
        </w:tc>
      </w:tr>
      <w:tr>
        <w:tc>
          <w:tcPr>
            <w:tcW w:type="dxa" w:w="1881"/>
            <w:shd w:fill="F8F9FA" w:val="clear"/>
          </w:tcPr>
          <w:p>
            <w:r/>
            <w:r>
              <w:rPr>
                <w:rFonts w:ascii="Calibri" w:hAnsi="Calibri"/>
                <w:sz w:val="20"/>
              </w:rPr>
              <w:t>Niveau 2</w:t>
            </w:r>
          </w:p>
        </w:tc>
        <w:tc>
          <w:tcPr>
            <w:tcW w:type="dxa" w:w="1881"/>
            <w:shd w:fill="F8F9FA" w:val="clear"/>
          </w:tcPr>
          <w:p>
            <w:r/>
            <w:r>
              <w:rPr>
                <w:rFonts w:ascii="Calibri" w:hAnsi="Calibri"/>
                <w:sz w:val="20"/>
              </w:rPr>
              <w:t>Procedures</w:t>
            </w:r>
          </w:p>
        </w:tc>
        <w:tc>
          <w:tcPr>
            <w:tcW w:type="dxa" w:w="1881"/>
            <w:shd w:fill="F8F9FA" w:val="clear"/>
          </w:tcPr>
          <w:p>
            <w:r/>
            <w:r>
              <w:rPr>
                <w:rFonts w:ascii="Calibri" w:hAnsi="Calibri"/>
                <w:sz w:val="20"/>
              </w:rPr>
              <w:t>HSEQ Manager (Jorick)</w:t>
            </w:r>
          </w:p>
        </w:tc>
        <w:tc>
          <w:tcPr>
            <w:tcW w:type="dxa" w:w="1881"/>
            <w:shd w:fill="F8F9FA" w:val="clear"/>
          </w:tcPr>
          <w:p>
            <w:r/>
            <w:r>
              <w:rPr>
                <w:rFonts w:ascii="Calibri" w:hAnsi="Calibri"/>
                <w:sz w:val="20"/>
              </w:rPr>
              <w:t>Jaarlijks</w:t>
            </w:r>
          </w:p>
        </w:tc>
        <w:tc>
          <w:tcPr>
            <w:tcW w:type="dxa" w:w="1881"/>
            <w:shd w:fill="F8F9FA" w:val="clear"/>
          </w:tcPr>
          <w:p>
            <w:r/>
            <w:r>
              <w:rPr>
                <w:rFonts w:ascii="Calibri" w:hAnsi="Calibri"/>
                <w:sz w:val="20"/>
              </w:rPr>
              <w:t>Betrokken afdelingen</w:t>
            </w:r>
          </w:p>
        </w:tc>
      </w:tr>
      <w:tr>
        <w:tc>
          <w:tcPr>
            <w:tcW w:type="dxa" w:w="1881"/>
          </w:tcPr>
          <w:p>
            <w:r/>
            <w:r>
              <w:rPr>
                <w:rFonts w:ascii="Calibri" w:hAnsi="Calibri"/>
                <w:sz w:val="20"/>
              </w:rPr>
              <w:t>Niveau 3</w:t>
            </w:r>
          </w:p>
        </w:tc>
        <w:tc>
          <w:tcPr>
            <w:tcW w:type="dxa" w:w="1881"/>
          </w:tcPr>
          <w:p>
            <w:r/>
            <w:r>
              <w:rPr>
                <w:rFonts w:ascii="Calibri" w:hAnsi="Calibri"/>
                <w:sz w:val="20"/>
              </w:rPr>
              <w:t>Werkinstructies &amp; Formulieren</w:t>
            </w:r>
          </w:p>
        </w:tc>
        <w:tc>
          <w:tcPr>
            <w:tcW w:type="dxa" w:w="1881"/>
          </w:tcPr>
          <w:p>
            <w:r/>
            <w:r>
              <w:rPr>
                <w:rFonts w:ascii="Calibri" w:hAnsi="Calibri"/>
                <w:sz w:val="20"/>
              </w:rPr>
              <w:t>Teamleider</w:t>
            </w:r>
          </w:p>
        </w:tc>
        <w:tc>
          <w:tcPr>
            <w:tcW w:type="dxa" w:w="1881"/>
          </w:tcPr>
          <w:p>
            <w:r/>
            <w:r>
              <w:rPr>
                <w:rFonts w:ascii="Calibri" w:hAnsi="Calibri"/>
                <w:sz w:val="20"/>
              </w:rPr>
              <w:t>2-jaarlijks</w:t>
            </w:r>
          </w:p>
        </w:tc>
        <w:tc>
          <w:tcPr>
            <w:tcW w:type="dxa" w:w="1881"/>
          </w:tcPr>
          <w:p>
            <w:r/>
            <w:r>
              <w:rPr>
                <w:rFonts w:ascii="Calibri" w:hAnsi="Calibri"/>
                <w:sz w:val="20"/>
              </w:rPr>
              <w:t>Operationele teams</w:t>
            </w:r>
          </w:p>
        </w:tc>
      </w:tr>
      <w:tr>
        <w:tc>
          <w:tcPr>
            <w:tcW w:type="dxa" w:w="1881"/>
            <w:shd w:fill="F8F9FA" w:val="clear"/>
          </w:tcPr>
          <w:p>
            <w:r/>
            <w:r>
              <w:rPr>
                <w:rFonts w:ascii="Calibri" w:hAnsi="Calibri"/>
                <w:sz w:val="20"/>
              </w:rPr>
              <w:t>Niveau 4</w:t>
            </w:r>
          </w:p>
        </w:tc>
        <w:tc>
          <w:tcPr>
            <w:tcW w:type="dxa" w:w="1881"/>
            <w:shd w:fill="F8F9FA" w:val="clear"/>
          </w:tcPr>
          <w:p>
            <w:r/>
            <w:r>
              <w:rPr>
                <w:rFonts w:ascii="Calibri" w:hAnsi="Calibri"/>
                <w:sz w:val="20"/>
              </w:rPr>
              <w:t>Registers &amp; Templates</w:t>
            </w:r>
          </w:p>
        </w:tc>
        <w:tc>
          <w:tcPr>
            <w:tcW w:type="dxa" w:w="1881"/>
            <w:shd w:fill="F8F9FA" w:val="clear"/>
          </w:tcPr>
          <w:p>
            <w:r/>
            <w:r>
              <w:rPr>
                <w:rFonts w:ascii="Calibri" w:hAnsi="Calibri"/>
                <w:sz w:val="20"/>
              </w:rPr>
              <w:t>HSEQ Manager</w:t>
            </w:r>
          </w:p>
        </w:tc>
        <w:tc>
          <w:tcPr>
            <w:tcW w:type="dxa" w:w="1881"/>
            <w:shd w:fill="F8F9FA" w:val="clear"/>
          </w:tcPr>
          <w:p>
            <w:r/>
            <w:r>
              <w:rPr>
                <w:rFonts w:ascii="Calibri" w:hAnsi="Calibri"/>
                <w:sz w:val="20"/>
              </w:rPr>
              <w:t>Kwartaallijks</w:t>
            </w:r>
          </w:p>
        </w:tc>
        <w:tc>
          <w:tcPr>
            <w:tcW w:type="dxa" w:w="1881"/>
            <w:shd w:fill="F8F9FA" w:val="clear"/>
          </w:tcPr>
          <w:p>
            <w:r/>
            <w:r>
              <w:rPr>
                <w:rFonts w:ascii="Calibri" w:hAnsi="Calibri"/>
                <w:sz w:val="20"/>
              </w:rPr>
              <w:t>HSEQ team + supervisors</w:t>
            </w:r>
          </w:p>
        </w:tc>
      </w:tr>
      <w:tr>
        <w:tc>
          <w:tcPr>
            <w:tcW w:type="dxa" w:w="1881"/>
          </w:tcPr>
          <w:p>
            <w:r/>
            <w:r>
              <w:rPr>
                <w:rFonts w:ascii="Calibri" w:hAnsi="Calibri"/>
                <w:sz w:val="20"/>
              </w:rPr>
              <w:t>Niveau 5</w:t>
            </w:r>
          </w:p>
        </w:tc>
        <w:tc>
          <w:tcPr>
            <w:tcW w:type="dxa" w:w="1881"/>
          </w:tcPr>
          <w:p>
            <w:r/>
            <w:r>
              <w:rPr>
                <w:rFonts w:ascii="Calibri" w:hAnsi="Calibri"/>
                <w:sz w:val="20"/>
              </w:rPr>
              <w:t>Rapporten &amp; Logs</w:t>
            </w:r>
          </w:p>
        </w:tc>
        <w:tc>
          <w:tcPr>
            <w:tcW w:type="dxa" w:w="1881"/>
          </w:tcPr>
          <w:p>
            <w:r/>
            <w:r>
              <w:rPr>
                <w:rFonts w:ascii="Calibri" w:hAnsi="Calibri"/>
                <w:sz w:val="20"/>
              </w:rPr>
              <w:t>HSEQ Manager</w:t>
            </w:r>
          </w:p>
        </w:tc>
        <w:tc>
          <w:tcPr>
            <w:tcW w:type="dxa" w:w="1881"/>
          </w:tcPr>
          <w:p>
            <w:r/>
            <w:r>
              <w:rPr>
                <w:rFonts w:ascii="Calibri" w:hAnsi="Calibri"/>
                <w:sz w:val="20"/>
              </w:rPr>
              <w:t>Per gelegenheid</w:t>
            </w:r>
          </w:p>
        </w:tc>
        <w:tc>
          <w:tcPr>
            <w:tcW w:type="dxa" w:w="1881"/>
          </w:tcPr>
          <w:p>
            <w:r/>
            <w:r>
              <w:rPr>
                <w:rFonts w:ascii="Calibri" w:hAnsi="Calibri"/>
                <w:sz w:val="20"/>
              </w:rPr>
              <w:t>Management + HSEQ</w:t>
            </w:r>
          </w:p>
        </w:tc>
      </w:tr>
    </w:tbl>
    <w:p>
      <w:pPr>
        <w:pStyle w:val="Heading1"/>
      </w:pPr>
      <w:r>
        <w:rPr>
          <w:rFonts w:ascii="Calibri" w:hAnsi="Calibri"/>
          <w:color w:val="003366"/>
        </w:rPr>
        <w:t>3. Documentlevenscyclus</w:t>
      </w:r>
    </w:p>
    <w:p>
      <w:r>
        <w:t>Elk VBS-document doorloopt zeven fasen van creatie tot archivering. Onderstaande tabel beschrijft per fase de verantwoordelijke, acties, tools en doorlooptijd.</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val="clear"/>
          </w:tcPr>
          <w:p>
            <w:pPr>
              <w:jc w:val="left"/>
            </w:pPr>
            <w:r/>
            <w:r>
              <w:rPr>
                <w:rFonts w:ascii="Calibri" w:hAnsi="Calibri"/>
                <w:b/>
                <w:color w:val="FFFFFF"/>
                <w:sz w:val="20"/>
              </w:rPr>
              <w:t>Fase</w:t>
            </w:r>
          </w:p>
        </w:tc>
        <w:tc>
          <w:tcPr>
            <w:tcW w:type="dxa" w:w="1881"/>
            <w:shd w:fill="003366" w:val="clear"/>
          </w:tcPr>
          <w:p>
            <w:pPr>
              <w:jc w:val="left"/>
            </w:pPr>
            <w:r/>
            <w:r>
              <w:rPr>
                <w:rFonts w:ascii="Calibri" w:hAnsi="Calibri"/>
                <w:b/>
                <w:color w:val="FFFFFF"/>
                <w:sz w:val="20"/>
              </w:rPr>
              <w:t>Verantwoordelijke</w:t>
            </w:r>
          </w:p>
        </w:tc>
        <w:tc>
          <w:tcPr>
            <w:tcW w:type="dxa" w:w="1881"/>
            <w:shd w:fill="003366" w:val="clear"/>
          </w:tcPr>
          <w:p>
            <w:pPr>
              <w:jc w:val="left"/>
            </w:pPr>
            <w:r/>
            <w:r>
              <w:rPr>
                <w:rFonts w:ascii="Calibri" w:hAnsi="Calibri"/>
                <w:b/>
                <w:color w:val="FFFFFF"/>
                <w:sz w:val="20"/>
              </w:rPr>
              <w:t>Acties</w:t>
            </w:r>
          </w:p>
        </w:tc>
        <w:tc>
          <w:tcPr>
            <w:tcW w:type="dxa" w:w="1881"/>
            <w:shd w:fill="003366" w:val="clear"/>
          </w:tcPr>
          <w:p>
            <w:pPr>
              <w:jc w:val="left"/>
            </w:pPr>
            <w:r/>
            <w:r>
              <w:rPr>
                <w:rFonts w:ascii="Calibri" w:hAnsi="Calibri"/>
                <w:b/>
                <w:color w:val="FFFFFF"/>
                <w:sz w:val="20"/>
              </w:rPr>
              <w:t>Tools</w:t>
            </w:r>
          </w:p>
        </w:tc>
        <w:tc>
          <w:tcPr>
            <w:tcW w:type="dxa" w:w="1881"/>
            <w:shd w:fill="003366" w:val="clear"/>
          </w:tcPr>
          <w:p>
            <w:pPr>
              <w:jc w:val="left"/>
            </w:pPr>
            <w:r/>
            <w:r>
              <w:rPr>
                <w:rFonts w:ascii="Calibri" w:hAnsi="Calibri"/>
                <w:b/>
                <w:color w:val="FFFFFF"/>
                <w:sz w:val="20"/>
              </w:rPr>
              <w:t>Doorlooptijd</w:t>
            </w:r>
          </w:p>
        </w:tc>
      </w:tr>
      <w:tr>
        <w:tc>
          <w:tcPr>
            <w:tcW w:type="dxa" w:w="1881"/>
          </w:tcPr>
          <w:p>
            <w:r/>
            <w:r>
              <w:rPr>
                <w:rFonts w:ascii="Calibri" w:hAnsi="Calibri"/>
                <w:sz w:val="20"/>
              </w:rPr>
              <w:t>1. Concept</w:t>
            </w:r>
          </w:p>
        </w:tc>
        <w:tc>
          <w:tcPr>
            <w:tcW w:type="dxa" w:w="1881"/>
          </w:tcPr>
          <w:p>
            <w:r/>
            <w:r>
              <w:rPr>
                <w:rFonts w:ascii="Calibri" w:hAnsi="Calibri"/>
                <w:sz w:val="20"/>
              </w:rPr>
              <w:t>Auteur (specialist)</w:t>
            </w:r>
          </w:p>
        </w:tc>
        <w:tc>
          <w:tcPr>
            <w:tcW w:type="dxa" w:w="1881"/>
          </w:tcPr>
          <w:p>
            <w:r/>
            <w:r>
              <w:rPr>
                <w:rFonts w:ascii="Calibri" w:hAnsi="Calibri"/>
                <w:sz w:val="20"/>
              </w:rPr>
              <w:t>Document opstellen conform template</w:t>
            </w:r>
          </w:p>
        </w:tc>
        <w:tc>
          <w:tcPr>
            <w:tcW w:type="dxa" w:w="1881"/>
          </w:tcPr>
          <w:p>
            <w:r/>
            <w:r>
              <w:rPr>
                <w:rFonts w:ascii="Calibri" w:hAnsi="Calibri"/>
                <w:sz w:val="20"/>
              </w:rPr>
              <w:t>Word/SharePoint</w:t>
            </w:r>
          </w:p>
        </w:tc>
        <w:tc>
          <w:tcPr>
            <w:tcW w:type="dxa" w:w="1881"/>
          </w:tcPr>
          <w:p>
            <w:r/>
            <w:r>
              <w:rPr>
                <w:rFonts w:ascii="Calibri" w:hAnsi="Calibri"/>
                <w:sz w:val="20"/>
              </w:rPr>
              <w:t>1–5 werkdagen</w:t>
            </w:r>
          </w:p>
        </w:tc>
      </w:tr>
      <w:tr>
        <w:tc>
          <w:tcPr>
            <w:tcW w:type="dxa" w:w="1881"/>
            <w:shd w:fill="F8F9FA" w:val="clear"/>
          </w:tcPr>
          <w:p>
            <w:r/>
            <w:r>
              <w:rPr>
                <w:rFonts w:ascii="Calibri" w:hAnsi="Calibri"/>
                <w:sz w:val="20"/>
              </w:rPr>
              <w:t>2. Review</w:t>
            </w:r>
          </w:p>
        </w:tc>
        <w:tc>
          <w:tcPr>
            <w:tcW w:type="dxa" w:w="1881"/>
            <w:shd w:fill="F8F9FA" w:val="clear"/>
          </w:tcPr>
          <w:p>
            <w:r/>
            <w:r>
              <w:rPr>
                <w:rFonts w:ascii="Calibri" w:hAnsi="Calibri"/>
                <w:sz w:val="20"/>
              </w:rPr>
              <w:t>Reviewer (HSEQ Manager)</w:t>
            </w:r>
          </w:p>
        </w:tc>
        <w:tc>
          <w:tcPr>
            <w:tcW w:type="dxa" w:w="1881"/>
            <w:shd w:fill="F8F9FA" w:val="clear"/>
          </w:tcPr>
          <w:p>
            <w:r/>
            <w:r>
              <w:rPr>
                <w:rFonts w:ascii="Calibri" w:hAnsi="Calibri"/>
                <w:sz w:val="20"/>
              </w:rPr>
              <w:t>Inhoudelijke toetsing, feedback verwerken</w:t>
            </w:r>
          </w:p>
        </w:tc>
        <w:tc>
          <w:tcPr>
            <w:tcW w:type="dxa" w:w="1881"/>
            <w:shd w:fill="F8F9FA" w:val="clear"/>
          </w:tcPr>
          <w:p>
            <w:r/>
            <w:r>
              <w:rPr>
                <w:rFonts w:ascii="Calibri" w:hAnsi="Calibri"/>
                <w:sz w:val="20"/>
              </w:rPr>
              <w:t>Track Changes, SharePoint</w:t>
            </w:r>
          </w:p>
        </w:tc>
        <w:tc>
          <w:tcPr>
            <w:tcW w:type="dxa" w:w="1881"/>
            <w:shd w:fill="F8F9FA" w:val="clear"/>
          </w:tcPr>
          <w:p>
            <w:r/>
            <w:r>
              <w:rPr>
                <w:rFonts w:ascii="Calibri" w:hAnsi="Calibri"/>
                <w:sz w:val="20"/>
              </w:rPr>
              <w:t>3–5 werkdagen</w:t>
            </w:r>
          </w:p>
        </w:tc>
      </w:tr>
      <w:tr>
        <w:tc>
          <w:tcPr>
            <w:tcW w:type="dxa" w:w="1881"/>
          </w:tcPr>
          <w:p>
            <w:r/>
            <w:r>
              <w:rPr>
                <w:rFonts w:ascii="Calibri" w:hAnsi="Calibri"/>
                <w:sz w:val="20"/>
              </w:rPr>
              <w:t>3. Goedkeuring</w:t>
            </w:r>
          </w:p>
        </w:tc>
        <w:tc>
          <w:tcPr>
            <w:tcW w:type="dxa" w:w="1881"/>
          </w:tcPr>
          <w:p>
            <w:r/>
            <w:r>
              <w:rPr>
                <w:rFonts w:ascii="Calibri" w:hAnsi="Calibri"/>
                <w:sz w:val="20"/>
              </w:rPr>
              <w:t>Goedkeurder (zie §6)</w:t>
            </w:r>
          </w:p>
        </w:tc>
        <w:tc>
          <w:tcPr>
            <w:tcW w:type="dxa" w:w="1881"/>
          </w:tcPr>
          <w:p>
            <w:r/>
            <w:r>
              <w:rPr>
                <w:rFonts w:ascii="Calibri" w:hAnsi="Calibri"/>
                <w:sz w:val="20"/>
              </w:rPr>
              <w:t>Formele goedkeuring, handtekening</w:t>
            </w:r>
          </w:p>
        </w:tc>
        <w:tc>
          <w:tcPr>
            <w:tcW w:type="dxa" w:w="1881"/>
          </w:tcPr>
          <w:p>
            <w:r/>
            <w:r>
              <w:rPr>
                <w:rFonts w:ascii="Calibri" w:hAnsi="Calibri"/>
                <w:sz w:val="20"/>
              </w:rPr>
              <w:t>SharePoint/workflow</w:t>
            </w:r>
          </w:p>
        </w:tc>
        <w:tc>
          <w:tcPr>
            <w:tcW w:type="dxa" w:w="1881"/>
          </w:tcPr>
          <w:p>
            <w:r/>
            <w:r>
              <w:rPr>
                <w:rFonts w:ascii="Calibri" w:hAnsi="Calibri"/>
                <w:sz w:val="20"/>
              </w:rPr>
              <w:t>1–3 werkdagen</w:t>
            </w:r>
          </w:p>
        </w:tc>
      </w:tr>
      <w:tr>
        <w:tc>
          <w:tcPr>
            <w:tcW w:type="dxa" w:w="1881"/>
            <w:shd w:fill="F8F9FA" w:val="clear"/>
          </w:tcPr>
          <w:p>
            <w:r/>
            <w:r>
              <w:rPr>
                <w:rFonts w:ascii="Calibri" w:hAnsi="Calibri"/>
                <w:sz w:val="20"/>
              </w:rPr>
              <w:t>4. Publicatie</w:t>
            </w:r>
          </w:p>
        </w:tc>
        <w:tc>
          <w:tcPr>
            <w:tcW w:type="dxa" w:w="1881"/>
            <w:shd w:fill="F8F9FA" w:val="clear"/>
          </w:tcPr>
          <w:p>
            <w:r/>
            <w:r>
              <w:rPr>
                <w:rFonts w:ascii="Calibri" w:hAnsi="Calibri"/>
                <w:sz w:val="20"/>
              </w:rPr>
              <w:t>HSEQ Manager</w:t>
            </w:r>
          </w:p>
        </w:tc>
        <w:tc>
          <w:tcPr>
            <w:tcW w:type="dxa" w:w="1881"/>
            <w:shd w:fill="F8F9FA" w:val="clear"/>
          </w:tcPr>
          <w:p>
            <w:r/>
            <w:r>
              <w:rPr>
                <w:rFonts w:ascii="Calibri" w:hAnsi="Calibri"/>
                <w:sz w:val="20"/>
              </w:rPr>
              <w:t>Versie toewijzen, upload naar DMS</w:t>
            </w:r>
          </w:p>
        </w:tc>
        <w:tc>
          <w:tcPr>
            <w:tcW w:type="dxa" w:w="1881"/>
            <w:shd w:fill="F8F9FA" w:val="clear"/>
          </w:tcPr>
          <w:p>
            <w:r/>
            <w:r>
              <w:rPr>
                <w:rFonts w:ascii="Calibri" w:hAnsi="Calibri"/>
                <w:sz w:val="20"/>
              </w:rPr>
              <w:t>DMS/SharePoint</w:t>
            </w:r>
          </w:p>
        </w:tc>
        <w:tc>
          <w:tcPr>
            <w:tcW w:type="dxa" w:w="1881"/>
            <w:shd w:fill="F8F9FA" w:val="clear"/>
          </w:tcPr>
          <w:p>
            <w:r/>
            <w:r>
              <w:rPr>
                <w:rFonts w:ascii="Calibri" w:hAnsi="Calibri"/>
                <w:sz w:val="20"/>
              </w:rPr>
              <w:t>1 werkdag</w:t>
            </w:r>
          </w:p>
        </w:tc>
      </w:tr>
      <w:tr>
        <w:tc>
          <w:tcPr>
            <w:tcW w:type="dxa" w:w="1881"/>
          </w:tcPr>
          <w:p>
            <w:r/>
            <w:r>
              <w:rPr>
                <w:rFonts w:ascii="Calibri" w:hAnsi="Calibri"/>
                <w:sz w:val="20"/>
              </w:rPr>
              <w:t>5. Distributie</w:t>
            </w:r>
          </w:p>
        </w:tc>
        <w:tc>
          <w:tcPr>
            <w:tcW w:type="dxa" w:w="1881"/>
          </w:tcPr>
          <w:p>
            <w:r/>
            <w:r>
              <w:rPr>
                <w:rFonts w:ascii="Calibri" w:hAnsi="Calibri"/>
                <w:sz w:val="20"/>
              </w:rPr>
              <w:t>HSEQ Manager</w:t>
            </w:r>
          </w:p>
        </w:tc>
        <w:tc>
          <w:tcPr>
            <w:tcW w:type="dxa" w:w="1881"/>
          </w:tcPr>
          <w:p>
            <w:r/>
            <w:r>
              <w:rPr>
                <w:rFonts w:ascii="Calibri" w:hAnsi="Calibri"/>
                <w:sz w:val="20"/>
              </w:rPr>
              <w:t>Informeren stakeholders, toegang verlenen</w:t>
            </w:r>
          </w:p>
        </w:tc>
        <w:tc>
          <w:tcPr>
            <w:tcW w:type="dxa" w:w="1881"/>
          </w:tcPr>
          <w:p>
            <w:r/>
            <w:r>
              <w:rPr>
                <w:rFonts w:ascii="Calibri" w:hAnsi="Calibri"/>
                <w:sz w:val="20"/>
              </w:rPr>
              <w:t>E-mail, SharePoint</w:t>
            </w:r>
          </w:p>
        </w:tc>
        <w:tc>
          <w:tcPr>
            <w:tcW w:type="dxa" w:w="1881"/>
          </w:tcPr>
          <w:p>
            <w:r/>
            <w:r>
              <w:rPr>
                <w:rFonts w:ascii="Calibri" w:hAnsi="Calibri"/>
                <w:sz w:val="20"/>
              </w:rPr>
              <w:t>1 werkdag</w:t>
            </w:r>
          </w:p>
        </w:tc>
      </w:tr>
      <w:tr>
        <w:tc>
          <w:tcPr>
            <w:tcW w:type="dxa" w:w="1881"/>
            <w:shd w:fill="F8F9FA" w:val="clear"/>
          </w:tcPr>
          <w:p>
            <w:r/>
            <w:r>
              <w:rPr>
                <w:rFonts w:ascii="Calibri" w:hAnsi="Calibri"/>
                <w:sz w:val="20"/>
              </w:rPr>
              <w:t>6. Reviewcyclus</w:t>
            </w:r>
          </w:p>
        </w:tc>
        <w:tc>
          <w:tcPr>
            <w:tcW w:type="dxa" w:w="1881"/>
            <w:shd w:fill="F8F9FA" w:val="clear"/>
          </w:tcPr>
          <w:p>
            <w:r/>
            <w:r>
              <w:rPr>
                <w:rFonts w:ascii="Calibri" w:hAnsi="Calibri"/>
                <w:sz w:val="20"/>
              </w:rPr>
              <w:t>Eigenaar</w:t>
            </w:r>
          </w:p>
        </w:tc>
        <w:tc>
          <w:tcPr>
            <w:tcW w:type="dxa" w:w="1881"/>
            <w:shd w:fill="F8F9FA" w:val="clear"/>
          </w:tcPr>
          <w:p>
            <w:r/>
            <w:r>
              <w:rPr>
                <w:rFonts w:ascii="Calibri" w:hAnsi="Calibri"/>
                <w:sz w:val="20"/>
              </w:rPr>
              <w:t>Periodieke herziening conform reviewfreq.</w:t>
            </w:r>
          </w:p>
        </w:tc>
        <w:tc>
          <w:tcPr>
            <w:tcW w:type="dxa" w:w="1881"/>
            <w:shd w:fill="F8F9FA" w:val="clear"/>
          </w:tcPr>
          <w:p>
            <w:r/>
            <w:r>
              <w:rPr>
                <w:rFonts w:ascii="Calibri" w:hAnsi="Calibri"/>
                <w:sz w:val="20"/>
              </w:rPr>
              <w:t>DMS kalender</w:t>
            </w:r>
          </w:p>
        </w:tc>
        <w:tc>
          <w:tcPr>
            <w:tcW w:type="dxa" w:w="1881"/>
            <w:shd w:fill="F8F9FA" w:val="clear"/>
          </w:tcPr>
          <w:p>
            <w:r/>
            <w:r>
              <w:rPr>
                <w:rFonts w:ascii="Calibri" w:hAnsi="Calibri"/>
                <w:sz w:val="20"/>
              </w:rPr>
              <w:t>Zie §6</w:t>
            </w:r>
          </w:p>
        </w:tc>
      </w:tr>
      <w:tr>
        <w:tc>
          <w:tcPr>
            <w:tcW w:type="dxa" w:w="1881"/>
          </w:tcPr>
          <w:p>
            <w:r/>
            <w:r>
              <w:rPr>
                <w:rFonts w:ascii="Calibri" w:hAnsi="Calibri"/>
                <w:sz w:val="20"/>
              </w:rPr>
              <w:t>7. Archivering</w:t>
            </w:r>
          </w:p>
        </w:tc>
        <w:tc>
          <w:tcPr>
            <w:tcW w:type="dxa" w:w="1881"/>
          </w:tcPr>
          <w:p>
            <w:r/>
            <w:r>
              <w:rPr>
                <w:rFonts w:ascii="Calibri" w:hAnsi="Calibri"/>
                <w:sz w:val="20"/>
              </w:rPr>
              <w:t>HSEQ Manager</w:t>
            </w:r>
          </w:p>
        </w:tc>
        <w:tc>
          <w:tcPr>
            <w:tcW w:type="dxa" w:w="1881"/>
          </w:tcPr>
          <w:p>
            <w:r/>
            <w:r>
              <w:rPr>
                <w:rFonts w:ascii="Calibri" w:hAnsi="Calibri"/>
                <w:sz w:val="20"/>
              </w:rPr>
              <w:t>Oude versie naar /archive/, metadata bewaren</w:t>
            </w:r>
          </w:p>
        </w:tc>
        <w:tc>
          <w:tcPr>
            <w:tcW w:type="dxa" w:w="1881"/>
          </w:tcPr>
          <w:p>
            <w:r/>
            <w:r>
              <w:rPr>
                <w:rFonts w:ascii="Calibri" w:hAnsi="Calibri"/>
                <w:sz w:val="20"/>
              </w:rPr>
              <w:t>DMS/SharePoint</w:t>
            </w:r>
          </w:p>
        </w:tc>
        <w:tc>
          <w:tcPr>
            <w:tcW w:type="dxa" w:w="1881"/>
          </w:tcPr>
          <w:p>
            <w:r/>
            <w:r>
              <w:rPr>
                <w:rFonts w:ascii="Calibri" w:hAnsi="Calibri"/>
                <w:sz w:val="20"/>
              </w:rPr>
              <w:t>Direct bij nieuwe versie</w:t>
            </w:r>
          </w:p>
        </w:tc>
      </w:tr>
    </w:tbl>
    <w:p>
      <w:pPr>
        <w:pStyle w:val="Heading1"/>
      </w:pPr>
      <w:r>
        <w:rPr>
          <w:rFonts w:ascii="Calibri" w:hAnsi="Calibri"/>
          <w:color w:val="003366"/>
        </w:rPr>
        <w:t>4. Versiebeheer</w:t>
      </w:r>
    </w:p>
    <w:p>
      <w:r>
        <w:t>Phoenix Metals hanteert semantic versioning (MAJOR.MINOR) voor alle VBS-documenten.</w:t>
      </w:r>
    </w:p>
    <w:p>
      <w:pPr>
        <w:pStyle w:val="Heading2"/>
      </w:pPr>
      <w:r>
        <w:rPr>
          <w:rFonts w:ascii="Calibri" w:hAnsi="Calibri"/>
          <w:color w:val="003366"/>
        </w:rPr>
        <w:t>4.1 Versioning Regels</w:t>
      </w:r>
    </w:p>
    <w:p>
      <w:pPr>
        <w:pStyle w:val="ListBullet"/>
      </w:pPr>
      <w:r>
        <w:t>MAJOR-versie (bijv. 1.0 → 2.0): Structurele wijziging door nieuwe wetgeving, NTA 8620 update, of fundamentele herziening.</w:t>
      </w:r>
    </w:p>
    <w:p>
      <w:pPr>
        <w:pStyle w:val="ListBullet"/>
      </w:pPr>
      <w:r>
        <w:t>MINOR-versie (bijv. 1.0 → 1.1): Inhoudelijke correctie, aanvulling, verduidelijking zonder structurele impact.</w:t>
      </w:r>
    </w:p>
    <w:p>
      <w:pPr>
        <w:pStyle w:val="ListBullet"/>
      </w:pPr>
      <w:r>
        <w:t>Archiveren: Oude versies worden verplaatst naar /archive/ met datumstempel (bijv. _v1.0_archived_20260429).</w:t>
      </w:r>
    </w:p>
    <w:p>
      <w:pPr>
        <w:pStyle w:val="ListBullet"/>
      </w:pPr>
      <w:r>
        <w:t>Actieve versies: Maximaal 3 versies gelijktijdig actief — Concept, Current, Previous.</w:t>
      </w:r>
    </w:p>
    <w:p>
      <w:pPr>
        <w:pStyle w:val="Heading2"/>
      </w:pPr>
      <w:r>
        <w:rPr>
          <w:rFonts w:ascii="Calibri" w:hAnsi="Calibri"/>
          <w:color w:val="003366"/>
        </w:rPr>
        <w:t>4.2 Versiematrix</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Wijzigingstype</w:t>
            </w:r>
          </w:p>
        </w:tc>
        <w:tc>
          <w:tcPr>
            <w:tcW w:type="dxa" w:w="2351"/>
            <w:shd w:fill="003366" w:val="clear"/>
          </w:tcPr>
          <w:p>
            <w:pPr>
              <w:jc w:val="left"/>
            </w:pPr>
            <w:r/>
            <w:r>
              <w:rPr>
                <w:rFonts w:ascii="Calibri" w:hAnsi="Calibri"/>
                <w:b/>
                <w:color w:val="FFFFFF"/>
                <w:sz w:val="20"/>
              </w:rPr>
              <w:t>Versie-impact</w:t>
            </w:r>
          </w:p>
        </w:tc>
        <w:tc>
          <w:tcPr>
            <w:tcW w:type="dxa" w:w="2351"/>
            <w:shd w:fill="003366" w:val="clear"/>
          </w:tcPr>
          <w:p>
            <w:pPr>
              <w:jc w:val="left"/>
            </w:pPr>
            <w:r/>
            <w:r>
              <w:rPr>
                <w:rFonts w:ascii="Calibri" w:hAnsi="Calibri"/>
                <w:b/>
                <w:color w:val="FFFFFF"/>
                <w:sz w:val="20"/>
              </w:rPr>
              <w:t>Voorbeeld</w:t>
            </w:r>
          </w:p>
        </w:tc>
        <w:tc>
          <w:tcPr>
            <w:tcW w:type="dxa" w:w="2351"/>
            <w:shd w:fill="003366" w:val="clear"/>
          </w:tcPr>
          <w:p>
            <w:pPr>
              <w:jc w:val="left"/>
            </w:pPr>
            <w:r/>
            <w:r>
              <w:rPr>
                <w:rFonts w:ascii="Calibri" w:hAnsi="Calibri"/>
                <w:b/>
                <w:color w:val="FFFFFF"/>
                <w:sz w:val="20"/>
              </w:rPr>
              <w:t>Goedkeuring</w:t>
            </w:r>
          </w:p>
        </w:tc>
      </w:tr>
      <w:tr>
        <w:tc>
          <w:tcPr>
            <w:tcW w:type="dxa" w:w="2351"/>
          </w:tcPr>
          <w:p>
            <w:r/>
            <w:r>
              <w:rPr>
                <w:rFonts w:ascii="Calibri" w:hAnsi="Calibri"/>
                <w:sz w:val="20"/>
              </w:rPr>
              <w:t>Nieuwe wetgeving</w:t>
            </w:r>
          </w:p>
        </w:tc>
        <w:tc>
          <w:tcPr>
            <w:tcW w:type="dxa" w:w="2351"/>
          </w:tcPr>
          <w:p>
            <w:r/>
            <w:r>
              <w:rPr>
                <w:rFonts w:ascii="Calibri" w:hAnsi="Calibri"/>
                <w:sz w:val="20"/>
              </w:rPr>
              <w:t>MAJOR</w:t>
            </w:r>
          </w:p>
        </w:tc>
        <w:tc>
          <w:tcPr>
            <w:tcW w:type="dxa" w:w="2351"/>
          </w:tcPr>
          <w:p>
            <w:r/>
            <w:r>
              <w:rPr>
                <w:rFonts w:ascii="Calibri" w:hAnsi="Calibri"/>
                <w:sz w:val="20"/>
              </w:rPr>
              <w:t>1.2 → 2.0</w:t>
            </w:r>
          </w:p>
        </w:tc>
        <w:tc>
          <w:tcPr>
            <w:tcW w:type="dxa" w:w="2351"/>
          </w:tcPr>
          <w:p>
            <w:r/>
            <w:r>
              <w:rPr>
                <w:rFonts w:ascii="Calibri" w:hAnsi="Calibri"/>
                <w:sz w:val="20"/>
              </w:rPr>
              <w:t>Directie</w:t>
            </w:r>
          </w:p>
        </w:tc>
      </w:tr>
      <w:tr>
        <w:tc>
          <w:tcPr>
            <w:tcW w:type="dxa" w:w="2351"/>
            <w:shd w:fill="F8F9FA" w:val="clear"/>
          </w:tcPr>
          <w:p>
            <w:r/>
            <w:r>
              <w:rPr>
                <w:rFonts w:ascii="Calibri" w:hAnsi="Calibri"/>
                <w:sz w:val="20"/>
              </w:rPr>
              <w:t>NTA 8620 update</w:t>
            </w:r>
          </w:p>
        </w:tc>
        <w:tc>
          <w:tcPr>
            <w:tcW w:type="dxa" w:w="2351"/>
            <w:shd w:fill="F8F9FA" w:val="clear"/>
          </w:tcPr>
          <w:p>
            <w:r/>
            <w:r>
              <w:rPr>
                <w:rFonts w:ascii="Calibri" w:hAnsi="Calibri"/>
                <w:sz w:val="20"/>
              </w:rPr>
              <w:t>MAJOR</w:t>
            </w:r>
          </w:p>
        </w:tc>
        <w:tc>
          <w:tcPr>
            <w:tcW w:type="dxa" w:w="2351"/>
            <w:shd w:fill="F8F9FA" w:val="clear"/>
          </w:tcPr>
          <w:p>
            <w:r/>
            <w:r>
              <w:rPr>
                <w:rFonts w:ascii="Calibri" w:hAnsi="Calibri"/>
                <w:sz w:val="20"/>
              </w:rPr>
              <w:t>1.0 → 2.0</w:t>
            </w:r>
          </w:p>
        </w:tc>
        <w:tc>
          <w:tcPr>
            <w:tcW w:type="dxa" w:w="2351"/>
            <w:shd w:fill="F8F9FA" w:val="clear"/>
          </w:tcPr>
          <w:p>
            <w:r/>
            <w:r>
              <w:rPr>
                <w:rFonts w:ascii="Calibri" w:hAnsi="Calibri"/>
                <w:sz w:val="20"/>
              </w:rPr>
              <w:t>Directie</w:t>
            </w:r>
          </w:p>
        </w:tc>
      </w:tr>
      <w:tr>
        <w:tc>
          <w:tcPr>
            <w:tcW w:type="dxa" w:w="2351"/>
          </w:tcPr>
          <w:p>
            <w:r/>
            <w:r>
              <w:rPr>
                <w:rFonts w:ascii="Calibri" w:hAnsi="Calibri"/>
                <w:sz w:val="20"/>
              </w:rPr>
              <w:t>Procedurele herziening</w:t>
            </w:r>
          </w:p>
        </w:tc>
        <w:tc>
          <w:tcPr>
            <w:tcW w:type="dxa" w:w="2351"/>
          </w:tcPr>
          <w:p>
            <w:r/>
            <w:r>
              <w:rPr>
                <w:rFonts w:ascii="Calibri" w:hAnsi="Calibri"/>
                <w:sz w:val="20"/>
              </w:rPr>
              <w:t>MINOR</w:t>
            </w:r>
          </w:p>
        </w:tc>
        <w:tc>
          <w:tcPr>
            <w:tcW w:type="dxa" w:w="2351"/>
          </w:tcPr>
          <w:p>
            <w:r/>
            <w:r>
              <w:rPr>
                <w:rFonts w:ascii="Calibri" w:hAnsi="Calibri"/>
                <w:sz w:val="20"/>
              </w:rPr>
              <w:t>1.0 → 1.1</w:t>
            </w:r>
          </w:p>
        </w:tc>
        <w:tc>
          <w:tcPr>
            <w:tcW w:type="dxa" w:w="2351"/>
          </w:tcPr>
          <w:p>
            <w:r/>
            <w:r>
              <w:rPr>
                <w:rFonts w:ascii="Calibri" w:hAnsi="Calibri"/>
                <w:sz w:val="20"/>
              </w:rPr>
              <w:t>HSEQ Manager</w:t>
            </w:r>
          </w:p>
        </w:tc>
      </w:tr>
      <w:tr>
        <w:tc>
          <w:tcPr>
            <w:tcW w:type="dxa" w:w="2351"/>
            <w:shd w:fill="F8F9FA" w:val="clear"/>
          </w:tcPr>
          <w:p>
            <w:r/>
            <w:r>
              <w:rPr>
                <w:rFonts w:ascii="Calibri" w:hAnsi="Calibri"/>
                <w:sz w:val="20"/>
              </w:rPr>
              <w:t>Tekstuele correctie</w:t>
            </w:r>
          </w:p>
        </w:tc>
        <w:tc>
          <w:tcPr>
            <w:tcW w:type="dxa" w:w="2351"/>
            <w:shd w:fill="F8F9FA" w:val="clear"/>
          </w:tcPr>
          <w:p>
            <w:r/>
            <w:r>
              <w:rPr>
                <w:rFonts w:ascii="Calibri" w:hAnsi="Calibri"/>
                <w:sz w:val="20"/>
              </w:rPr>
              <w:t>MINOR</w:t>
            </w:r>
          </w:p>
        </w:tc>
        <w:tc>
          <w:tcPr>
            <w:tcW w:type="dxa" w:w="2351"/>
            <w:shd w:fill="F8F9FA" w:val="clear"/>
          </w:tcPr>
          <w:p>
            <w:r/>
            <w:r>
              <w:rPr>
                <w:rFonts w:ascii="Calibri" w:hAnsi="Calibri"/>
                <w:sz w:val="20"/>
              </w:rPr>
              <w:t>1.1 → 1.2</w:t>
            </w:r>
          </w:p>
        </w:tc>
        <w:tc>
          <w:tcPr>
            <w:tcW w:type="dxa" w:w="2351"/>
            <w:shd w:fill="F8F9FA" w:val="clear"/>
          </w:tcPr>
          <w:p>
            <w:r/>
            <w:r>
              <w:rPr>
                <w:rFonts w:ascii="Calibri" w:hAnsi="Calibri"/>
                <w:sz w:val="20"/>
              </w:rPr>
              <w:t>HSEQ Manager</w:t>
            </w:r>
          </w:p>
        </w:tc>
      </w:tr>
      <w:tr>
        <w:tc>
          <w:tcPr>
            <w:tcW w:type="dxa" w:w="2351"/>
          </w:tcPr>
          <w:p>
            <w:r/>
            <w:r>
              <w:rPr>
                <w:rFonts w:ascii="Calibri" w:hAnsi="Calibri"/>
                <w:sz w:val="20"/>
              </w:rPr>
              <w:t>Template update</w:t>
            </w:r>
          </w:p>
        </w:tc>
        <w:tc>
          <w:tcPr>
            <w:tcW w:type="dxa" w:w="2351"/>
          </w:tcPr>
          <w:p>
            <w:r/>
            <w:r>
              <w:rPr>
                <w:rFonts w:ascii="Calibri" w:hAnsi="Calibri"/>
                <w:sz w:val="20"/>
              </w:rPr>
              <w:t>MINOR</w:t>
            </w:r>
          </w:p>
        </w:tc>
        <w:tc>
          <w:tcPr>
            <w:tcW w:type="dxa" w:w="2351"/>
          </w:tcPr>
          <w:p>
            <w:r/>
            <w:r>
              <w:rPr>
                <w:rFonts w:ascii="Calibri" w:hAnsi="Calibri"/>
                <w:sz w:val="20"/>
              </w:rPr>
              <w:t>1.0 → 1.1</w:t>
            </w:r>
          </w:p>
        </w:tc>
        <w:tc>
          <w:tcPr>
            <w:tcW w:type="dxa" w:w="2351"/>
          </w:tcPr>
          <w:p>
            <w:r/>
            <w:r>
              <w:rPr>
                <w:rFonts w:ascii="Calibri" w:hAnsi="Calibri"/>
                <w:sz w:val="20"/>
              </w:rPr>
              <w:t>Teamleider</w:t>
            </w:r>
          </w:p>
        </w:tc>
      </w:tr>
    </w:tbl>
    <w:p>
      <w:pPr>
        <w:pStyle w:val="Heading1"/>
      </w:pPr>
      <w:r>
        <w:rPr>
          <w:rFonts w:ascii="Calibri" w:hAnsi="Calibri"/>
          <w:color w:val="003366"/>
        </w:rPr>
        <w:t>5. Nummeringssysteem</w:t>
      </w:r>
    </w:p>
    <w:p>
      <w:r>
        <w:t>Alle VBS-documenten volgen een uniform nummeringssysteem voor eenduidige identificatie en traceerbaarheid.</w:t>
      </w:r>
    </w:p>
    <w:p>
      <w:pPr>
        <w:pStyle w:val="Heading2"/>
      </w:pPr>
      <w:r>
        <w:rPr>
          <w:rFonts w:ascii="Calibri" w:hAnsi="Calibri"/>
          <w:color w:val="003366"/>
        </w:rPr>
        <w:t>5.1 Format</w:t>
      </w:r>
    </w:p>
    <w:p>
      <w:r>
        <w:rPr>
          <w:rFonts w:ascii="Calibri" w:hAnsi="Calibri"/>
          <w:b/>
        </w:rPr>
        <w:t>PM_VBS[XX]_[NN]_[Titel]_v[MM].[mm].docx</w:t>
      </w:r>
    </w:p>
    <w:p>
      <w:pPr>
        <w:pStyle w:val="Heading2"/>
      </w:pPr>
      <w:r>
        <w:rPr>
          <w:rFonts w:ascii="Calibri" w:hAnsi="Calibri"/>
          <w:color w:val="003366"/>
        </w:rPr>
        <w:t>5.2 Elementcodes</w:t>
      </w:r>
    </w:p>
    <w:tbl>
      <w:tblPr>
        <w:tblStyle w:val="TableGrid"/>
        <w:tblW w:type="auto" w:w="0"/>
        <w:jc w:val="center"/>
        <w:tblLook w:firstColumn="1" w:firstRow="1" w:lastColumn="0" w:lastRow="0" w:noHBand="0" w:noVBand="1" w:val="04A0"/>
      </w:tblPr>
      <w:tblGrid>
        <w:gridCol w:w="4703"/>
        <w:gridCol w:w="4703"/>
      </w:tblGrid>
      <w:tr>
        <w:tc>
          <w:tcPr>
            <w:tcW w:type="dxa" w:w="4703"/>
            <w:shd w:fill="003366" w:val="clear"/>
          </w:tcPr>
          <w:p>
            <w:pPr>
              <w:jc w:val="left"/>
            </w:pPr>
            <w:r/>
            <w:r>
              <w:rPr>
                <w:rFonts w:ascii="Calibri" w:hAnsi="Calibri"/>
                <w:b/>
                <w:color w:val="FFFFFF"/>
                <w:sz w:val="20"/>
              </w:rPr>
              <w:t>Code</w:t>
            </w:r>
          </w:p>
        </w:tc>
        <w:tc>
          <w:tcPr>
            <w:tcW w:type="dxa" w:w="4703"/>
            <w:shd w:fill="003366" w:val="clear"/>
          </w:tcPr>
          <w:p>
            <w:pPr>
              <w:jc w:val="left"/>
            </w:pPr>
            <w:r/>
            <w:r>
              <w:rPr>
                <w:rFonts w:ascii="Calibri" w:hAnsi="Calibri"/>
                <w:b/>
                <w:color w:val="FFFFFF"/>
                <w:sz w:val="20"/>
              </w:rPr>
              <w:t>Element</w:t>
            </w:r>
          </w:p>
        </w:tc>
      </w:tr>
      <w:tr>
        <w:tc>
          <w:tcPr>
            <w:tcW w:type="dxa" w:w="4703"/>
          </w:tcPr>
          <w:p>
            <w:r/>
            <w:r>
              <w:rPr>
                <w:rFonts w:ascii="Calibri" w:hAnsi="Calibri"/>
                <w:sz w:val="20"/>
              </w:rPr>
              <w:t>01</w:t>
            </w:r>
          </w:p>
        </w:tc>
        <w:tc>
          <w:tcPr>
            <w:tcW w:type="dxa" w:w="4703"/>
          </w:tcPr>
          <w:p>
            <w:r/>
            <w:r>
              <w:rPr>
                <w:rFonts w:ascii="Calibri" w:hAnsi="Calibri"/>
                <w:sz w:val="20"/>
              </w:rPr>
              <w:t>Beleid &amp; Organisatie</w:t>
            </w:r>
          </w:p>
        </w:tc>
      </w:tr>
      <w:tr>
        <w:tc>
          <w:tcPr>
            <w:tcW w:type="dxa" w:w="4703"/>
            <w:shd w:fill="F8F9FA" w:val="clear"/>
          </w:tcPr>
          <w:p>
            <w:r/>
            <w:r>
              <w:rPr>
                <w:rFonts w:ascii="Calibri" w:hAnsi="Calibri"/>
                <w:sz w:val="20"/>
              </w:rPr>
              <w:t>02</w:t>
            </w:r>
          </w:p>
        </w:tc>
        <w:tc>
          <w:tcPr>
            <w:tcW w:type="dxa" w:w="4703"/>
            <w:shd w:fill="F8F9FA" w:val="clear"/>
          </w:tcPr>
          <w:p>
            <w:r/>
            <w:r>
              <w:rPr>
                <w:rFonts w:ascii="Calibri" w:hAnsi="Calibri"/>
                <w:sz w:val="20"/>
              </w:rPr>
              <w:t>Gevaaridentificatie &amp; Risicobeheersing</w:t>
            </w:r>
          </w:p>
        </w:tc>
      </w:tr>
      <w:tr>
        <w:tc>
          <w:tcPr>
            <w:tcW w:type="dxa" w:w="4703"/>
          </w:tcPr>
          <w:p>
            <w:r/>
            <w:r>
              <w:rPr>
                <w:rFonts w:ascii="Calibri" w:hAnsi="Calibri"/>
                <w:sz w:val="20"/>
              </w:rPr>
              <w:t>03</w:t>
            </w:r>
          </w:p>
        </w:tc>
        <w:tc>
          <w:tcPr>
            <w:tcW w:type="dxa" w:w="4703"/>
          </w:tcPr>
          <w:p>
            <w:r/>
            <w:r>
              <w:rPr>
                <w:rFonts w:ascii="Calibri" w:hAnsi="Calibri"/>
                <w:sz w:val="20"/>
              </w:rPr>
              <w:t>Exploitatiecontrole (Veiligheidssystemen)</w:t>
            </w:r>
          </w:p>
        </w:tc>
      </w:tr>
      <w:tr>
        <w:tc>
          <w:tcPr>
            <w:tcW w:type="dxa" w:w="4703"/>
            <w:shd w:fill="F8F9FA" w:val="clear"/>
          </w:tcPr>
          <w:p>
            <w:r/>
            <w:r>
              <w:rPr>
                <w:rFonts w:ascii="Calibri" w:hAnsi="Calibri"/>
                <w:sz w:val="20"/>
              </w:rPr>
              <w:t>04</w:t>
            </w:r>
          </w:p>
        </w:tc>
        <w:tc>
          <w:tcPr>
            <w:tcW w:type="dxa" w:w="4703"/>
            <w:shd w:fill="F8F9FA" w:val="clear"/>
          </w:tcPr>
          <w:p>
            <w:r/>
            <w:r>
              <w:rPr>
                <w:rFonts w:ascii="Calibri" w:hAnsi="Calibri"/>
                <w:sz w:val="20"/>
              </w:rPr>
              <w:t>Noodplanning &amp; Crisisbeheer</w:t>
            </w:r>
          </w:p>
        </w:tc>
      </w:tr>
      <w:tr>
        <w:tc>
          <w:tcPr>
            <w:tcW w:type="dxa" w:w="4703"/>
          </w:tcPr>
          <w:p>
            <w:r/>
            <w:r>
              <w:rPr>
                <w:rFonts w:ascii="Calibri" w:hAnsi="Calibri"/>
                <w:sz w:val="20"/>
              </w:rPr>
              <w:t>05</w:t>
            </w:r>
          </w:p>
        </w:tc>
        <w:tc>
          <w:tcPr>
            <w:tcW w:type="dxa" w:w="4703"/>
          </w:tcPr>
          <w:p>
            <w:r/>
            <w:r>
              <w:rPr>
                <w:rFonts w:ascii="Calibri" w:hAnsi="Calibri"/>
                <w:sz w:val="20"/>
              </w:rPr>
              <w:t>Wijzigingenbeheer (Management of Change)</w:t>
            </w:r>
          </w:p>
        </w:tc>
      </w:tr>
      <w:tr>
        <w:tc>
          <w:tcPr>
            <w:tcW w:type="dxa" w:w="4703"/>
            <w:shd w:fill="F8F9FA" w:val="clear"/>
          </w:tcPr>
          <w:p>
            <w:r/>
            <w:r>
              <w:rPr>
                <w:rFonts w:ascii="Calibri" w:hAnsi="Calibri"/>
                <w:sz w:val="20"/>
              </w:rPr>
              <w:t>06</w:t>
            </w:r>
          </w:p>
        </w:tc>
        <w:tc>
          <w:tcPr>
            <w:tcW w:type="dxa" w:w="4703"/>
            <w:shd w:fill="F8F9FA" w:val="clear"/>
          </w:tcPr>
          <w:p>
            <w:r/>
            <w:r>
              <w:rPr>
                <w:rFonts w:ascii="Calibri" w:hAnsi="Calibri"/>
                <w:sz w:val="20"/>
              </w:rPr>
              <w:t>Toezicht &amp; Handhaving</w:t>
            </w:r>
          </w:p>
        </w:tc>
      </w:tr>
      <w:tr>
        <w:tc>
          <w:tcPr>
            <w:tcW w:type="dxa" w:w="4703"/>
          </w:tcPr>
          <w:p>
            <w:r/>
            <w:r>
              <w:rPr>
                <w:rFonts w:ascii="Calibri" w:hAnsi="Calibri"/>
                <w:sz w:val="20"/>
              </w:rPr>
              <w:t>07</w:t>
            </w:r>
          </w:p>
        </w:tc>
        <w:tc>
          <w:tcPr>
            <w:tcW w:type="dxa" w:w="4703"/>
          </w:tcPr>
          <w:p>
            <w:r/>
            <w:r>
              <w:rPr>
                <w:rFonts w:ascii="Calibri" w:hAnsi="Calibri"/>
                <w:sz w:val="20"/>
              </w:rPr>
              <w:t>Controle &amp; Analyse</w:t>
            </w:r>
          </w:p>
        </w:tc>
      </w:tr>
    </w:tbl>
    <w:p>
      <w:pPr>
        <w:pStyle w:val="Heading2"/>
      </w:pPr>
      <w:r>
        <w:rPr>
          <w:rFonts w:ascii="Calibri" w:hAnsi="Calibri"/>
          <w:color w:val="003366"/>
        </w:rPr>
        <w:t>5.3 Voorbeelden</w:t>
      </w:r>
    </w:p>
    <w:p>
      <w:pPr>
        <w:pStyle w:val="ListBullet"/>
      </w:pPr>
      <w:r>
        <w:t>PM_VBS05_02_MoC_Procedure_v1.0.docx — Wijzigingenbeheer procedure</w:t>
      </w:r>
    </w:p>
    <w:p>
      <w:pPr>
        <w:pStyle w:val="ListBullet"/>
      </w:pPr>
      <w:r>
        <w:t>PM_VBS01_01_VBS_Beleidsverklaring_v2.0.docx — Beleidsverklaring</w:t>
      </w:r>
    </w:p>
    <w:p>
      <w:pPr>
        <w:pStyle w:val="ListBullet"/>
      </w:pPr>
      <w:r>
        <w:t>PM_VBS04_03_Noodplan_Fire_v1.1.docx — Brandnoodplan</w:t>
      </w:r>
    </w:p>
    <w:p>
      <w:pPr>
        <w:pStyle w:val="ListBullet"/>
      </w:pPr>
      <w:r>
        <w:t>PM_VBS_MASTER_DMS_Procedure_v1.0.docx — Overstijgend document</w:t>
      </w:r>
    </w:p>
    <w:p>
      <w:pPr>
        <w:pStyle w:val="ListBullet"/>
      </w:pPr>
      <w:r>
        <w:t>PM_VBS_IMPLEMENTATIE_Plan_v1.0.docx — Implementatieplan</w:t>
      </w:r>
    </w:p>
    <w:p>
      <w:pPr>
        <w:pStyle w:val="Heading1"/>
      </w:pPr>
      <w:r>
        <w:rPr>
          <w:rFonts w:ascii="Calibri" w:hAnsi="Calibri"/>
          <w:color w:val="003366"/>
        </w:rPr>
        <w:t>6. Review &amp; Goedkeuringsmatrix</w:t>
      </w:r>
    </w:p>
    <w:p>
      <w:r>
        <w:t>De volgende matrix definieert wie verantwoordelijk is voor het schrijven, reviewen en goedkeuren van elk documenttype, inclusief de reviewfrequentie.</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val="clear"/>
          </w:tcPr>
          <w:p>
            <w:pPr>
              <w:jc w:val="left"/>
            </w:pPr>
            <w:r/>
            <w:r>
              <w:rPr>
                <w:rFonts w:ascii="Calibri" w:hAnsi="Calibri"/>
                <w:b/>
                <w:color w:val="FFFFFF"/>
                <w:sz w:val="20"/>
              </w:rPr>
              <w:t>Documenttype</w:t>
            </w:r>
          </w:p>
        </w:tc>
        <w:tc>
          <w:tcPr>
            <w:tcW w:type="dxa" w:w="1881"/>
            <w:shd w:fill="003366" w:val="clear"/>
          </w:tcPr>
          <w:p>
            <w:pPr>
              <w:jc w:val="left"/>
            </w:pPr>
            <w:r/>
            <w:r>
              <w:rPr>
                <w:rFonts w:ascii="Calibri" w:hAnsi="Calibri"/>
                <w:b/>
                <w:color w:val="FFFFFF"/>
                <w:sz w:val="20"/>
              </w:rPr>
              <w:t>Auteur</w:t>
            </w:r>
          </w:p>
        </w:tc>
        <w:tc>
          <w:tcPr>
            <w:tcW w:type="dxa" w:w="1881"/>
            <w:shd w:fill="003366" w:val="clear"/>
          </w:tcPr>
          <w:p>
            <w:pPr>
              <w:jc w:val="left"/>
            </w:pPr>
            <w:r/>
            <w:r>
              <w:rPr>
                <w:rFonts w:ascii="Calibri" w:hAnsi="Calibri"/>
                <w:b/>
                <w:color w:val="FFFFFF"/>
                <w:sz w:val="20"/>
              </w:rPr>
              <w:t>Reviewer</w:t>
            </w:r>
          </w:p>
        </w:tc>
        <w:tc>
          <w:tcPr>
            <w:tcW w:type="dxa" w:w="1881"/>
            <w:shd w:fill="003366" w:val="clear"/>
          </w:tcPr>
          <w:p>
            <w:pPr>
              <w:jc w:val="left"/>
            </w:pPr>
            <w:r/>
            <w:r>
              <w:rPr>
                <w:rFonts w:ascii="Calibri" w:hAnsi="Calibri"/>
                <w:b/>
                <w:color w:val="FFFFFF"/>
                <w:sz w:val="20"/>
              </w:rPr>
              <w:t>Goedkeuring</w:t>
            </w:r>
          </w:p>
        </w:tc>
        <w:tc>
          <w:tcPr>
            <w:tcW w:type="dxa" w:w="1881"/>
            <w:shd w:fill="003366" w:val="clear"/>
          </w:tcPr>
          <w:p>
            <w:pPr>
              <w:jc w:val="left"/>
            </w:pPr>
            <w:r/>
            <w:r>
              <w:rPr>
                <w:rFonts w:ascii="Calibri" w:hAnsi="Calibri"/>
                <w:b/>
                <w:color w:val="FFFFFF"/>
                <w:sz w:val="20"/>
              </w:rPr>
              <w:t>Frequentie</w:t>
            </w:r>
          </w:p>
        </w:tc>
      </w:tr>
      <w:tr>
        <w:tc>
          <w:tcPr>
            <w:tcW w:type="dxa" w:w="1881"/>
          </w:tcPr>
          <w:p>
            <w:r/>
            <w:r>
              <w:rPr>
                <w:rFonts w:ascii="Calibri" w:hAnsi="Calibri"/>
                <w:sz w:val="20"/>
              </w:rPr>
              <w:t>Beleid</w:t>
            </w:r>
          </w:p>
        </w:tc>
        <w:tc>
          <w:tcPr>
            <w:tcW w:type="dxa" w:w="1881"/>
          </w:tcPr>
          <w:p>
            <w:r/>
            <w:r>
              <w:rPr>
                <w:rFonts w:ascii="Calibri" w:hAnsi="Calibri"/>
                <w:sz w:val="20"/>
              </w:rPr>
              <w:t>HSEQ Manager</w:t>
            </w:r>
          </w:p>
        </w:tc>
        <w:tc>
          <w:tcPr>
            <w:tcW w:type="dxa" w:w="1881"/>
          </w:tcPr>
          <w:p>
            <w:r/>
            <w:r>
              <w:rPr>
                <w:rFonts w:ascii="Calibri" w:hAnsi="Calibri"/>
                <w:sz w:val="20"/>
              </w:rPr>
              <w:t>Plant Manager</w:t>
            </w:r>
          </w:p>
        </w:tc>
        <w:tc>
          <w:tcPr>
            <w:tcW w:type="dxa" w:w="1881"/>
          </w:tcPr>
          <w:p>
            <w:r/>
            <w:r>
              <w:rPr>
                <w:rFonts w:ascii="Calibri" w:hAnsi="Calibri"/>
                <w:sz w:val="20"/>
              </w:rPr>
              <w:t>Directie</w:t>
            </w:r>
          </w:p>
        </w:tc>
        <w:tc>
          <w:tcPr>
            <w:tcW w:type="dxa" w:w="1881"/>
          </w:tcPr>
          <w:p>
            <w:r/>
            <w:r>
              <w:rPr>
                <w:rFonts w:ascii="Calibri" w:hAnsi="Calibri"/>
                <w:sz w:val="20"/>
              </w:rPr>
              <w:t>Jaarlijks</w:t>
            </w:r>
          </w:p>
        </w:tc>
      </w:tr>
      <w:tr>
        <w:tc>
          <w:tcPr>
            <w:tcW w:type="dxa" w:w="1881"/>
            <w:shd w:fill="F8F9FA" w:val="clear"/>
          </w:tcPr>
          <w:p>
            <w:r/>
            <w:r>
              <w:rPr>
                <w:rFonts w:ascii="Calibri" w:hAnsi="Calibri"/>
                <w:sz w:val="20"/>
              </w:rPr>
              <w:t>Procedure</w:t>
            </w:r>
          </w:p>
        </w:tc>
        <w:tc>
          <w:tcPr>
            <w:tcW w:type="dxa" w:w="1881"/>
            <w:shd w:fill="F8F9FA" w:val="clear"/>
          </w:tcPr>
          <w:p>
            <w:r/>
            <w:r>
              <w:rPr>
                <w:rFonts w:ascii="Calibri" w:hAnsi="Calibri"/>
                <w:sz w:val="20"/>
              </w:rPr>
              <w:t>Specialist</w:t>
            </w:r>
          </w:p>
        </w:tc>
        <w:tc>
          <w:tcPr>
            <w:tcW w:type="dxa" w:w="1881"/>
            <w:shd w:fill="F8F9FA" w:val="clear"/>
          </w:tcPr>
          <w:p>
            <w:r/>
            <w:r>
              <w:rPr>
                <w:rFonts w:ascii="Calibri" w:hAnsi="Calibri"/>
                <w:sz w:val="20"/>
              </w:rPr>
              <w:t>HSEQ Manager</w:t>
            </w:r>
          </w:p>
        </w:tc>
        <w:tc>
          <w:tcPr>
            <w:tcW w:type="dxa" w:w="1881"/>
            <w:shd w:fill="F8F9FA" w:val="clear"/>
          </w:tcPr>
          <w:p>
            <w:r/>
            <w:r>
              <w:rPr>
                <w:rFonts w:ascii="Calibri" w:hAnsi="Calibri"/>
                <w:sz w:val="20"/>
              </w:rPr>
              <w:t>Plant Manager</w:t>
            </w:r>
          </w:p>
        </w:tc>
        <w:tc>
          <w:tcPr>
            <w:tcW w:type="dxa" w:w="1881"/>
            <w:shd w:fill="F8F9FA" w:val="clear"/>
          </w:tcPr>
          <w:p>
            <w:r/>
            <w:r>
              <w:rPr>
                <w:rFonts w:ascii="Calibri" w:hAnsi="Calibri"/>
                <w:sz w:val="20"/>
              </w:rPr>
              <w:t>Jaarlijks</w:t>
            </w:r>
          </w:p>
        </w:tc>
      </w:tr>
      <w:tr>
        <w:tc>
          <w:tcPr>
            <w:tcW w:type="dxa" w:w="1881"/>
          </w:tcPr>
          <w:p>
            <w:r/>
            <w:r>
              <w:rPr>
                <w:rFonts w:ascii="Calibri" w:hAnsi="Calibri"/>
                <w:sz w:val="20"/>
              </w:rPr>
              <w:t>Werkinstructie</w:t>
            </w:r>
          </w:p>
        </w:tc>
        <w:tc>
          <w:tcPr>
            <w:tcW w:type="dxa" w:w="1881"/>
          </w:tcPr>
          <w:p>
            <w:r/>
            <w:r>
              <w:rPr>
                <w:rFonts w:ascii="Calibri" w:hAnsi="Calibri"/>
                <w:sz w:val="20"/>
              </w:rPr>
              <w:t>Specialist</w:t>
            </w:r>
          </w:p>
        </w:tc>
        <w:tc>
          <w:tcPr>
            <w:tcW w:type="dxa" w:w="1881"/>
          </w:tcPr>
          <w:p>
            <w:r/>
            <w:r>
              <w:rPr>
                <w:rFonts w:ascii="Calibri" w:hAnsi="Calibri"/>
                <w:sz w:val="20"/>
              </w:rPr>
              <w:t>Teamleider</w:t>
            </w:r>
          </w:p>
        </w:tc>
        <w:tc>
          <w:tcPr>
            <w:tcW w:type="dxa" w:w="1881"/>
          </w:tcPr>
          <w:p>
            <w:r/>
            <w:r>
              <w:rPr>
                <w:rFonts w:ascii="Calibri" w:hAnsi="Calibri"/>
                <w:sz w:val="20"/>
              </w:rPr>
              <w:t>HSEQ Manager</w:t>
            </w:r>
          </w:p>
        </w:tc>
        <w:tc>
          <w:tcPr>
            <w:tcW w:type="dxa" w:w="1881"/>
          </w:tcPr>
          <w:p>
            <w:r/>
            <w:r>
              <w:rPr>
                <w:rFonts w:ascii="Calibri" w:hAnsi="Calibri"/>
                <w:sz w:val="20"/>
              </w:rPr>
              <w:t>2-jaarlijks</w:t>
            </w:r>
          </w:p>
        </w:tc>
      </w:tr>
      <w:tr>
        <w:tc>
          <w:tcPr>
            <w:tcW w:type="dxa" w:w="1881"/>
            <w:shd w:fill="F8F9FA" w:val="clear"/>
          </w:tcPr>
          <w:p>
            <w:r/>
            <w:r>
              <w:rPr>
                <w:rFonts w:ascii="Calibri" w:hAnsi="Calibri"/>
                <w:sz w:val="20"/>
              </w:rPr>
              <w:t>Formulier</w:t>
            </w:r>
          </w:p>
        </w:tc>
        <w:tc>
          <w:tcPr>
            <w:tcW w:type="dxa" w:w="1881"/>
            <w:shd w:fill="F8F9FA" w:val="clear"/>
          </w:tcPr>
          <w:p>
            <w:r/>
            <w:r>
              <w:rPr>
                <w:rFonts w:ascii="Calibri" w:hAnsi="Calibri"/>
                <w:sz w:val="20"/>
              </w:rPr>
              <w:t>Specialist</w:t>
            </w:r>
          </w:p>
        </w:tc>
        <w:tc>
          <w:tcPr>
            <w:tcW w:type="dxa" w:w="1881"/>
            <w:shd w:fill="F8F9FA" w:val="clear"/>
          </w:tcPr>
          <w:p>
            <w:r/>
            <w:r>
              <w:rPr>
                <w:rFonts w:ascii="Calibri" w:hAnsi="Calibri"/>
                <w:sz w:val="20"/>
              </w:rPr>
              <w:t>HSEQ Manager</w:t>
            </w:r>
          </w:p>
        </w:tc>
        <w:tc>
          <w:tcPr>
            <w:tcW w:type="dxa" w:w="1881"/>
            <w:shd w:fill="F8F9FA" w:val="clear"/>
          </w:tcPr>
          <w:p>
            <w:r/>
            <w:r>
              <w:rPr>
                <w:rFonts w:ascii="Calibri" w:hAnsi="Calibri"/>
                <w:sz w:val="20"/>
              </w:rPr>
              <w:t>—</w:t>
            </w:r>
          </w:p>
        </w:tc>
        <w:tc>
          <w:tcPr>
            <w:tcW w:type="dxa" w:w="1881"/>
            <w:shd w:fill="F8F9FA" w:val="clear"/>
          </w:tcPr>
          <w:p>
            <w:r/>
            <w:r>
              <w:rPr>
                <w:rFonts w:ascii="Calibri" w:hAnsi="Calibri"/>
                <w:sz w:val="20"/>
              </w:rPr>
              <w:t>2-jaarlijks</w:t>
            </w:r>
          </w:p>
        </w:tc>
      </w:tr>
      <w:tr>
        <w:tc>
          <w:tcPr>
            <w:tcW w:type="dxa" w:w="1881"/>
          </w:tcPr>
          <w:p>
            <w:r/>
            <w:r>
              <w:rPr>
                <w:rFonts w:ascii="Calibri" w:hAnsi="Calibri"/>
                <w:sz w:val="20"/>
              </w:rPr>
              <w:t>Register</w:t>
            </w:r>
          </w:p>
        </w:tc>
        <w:tc>
          <w:tcPr>
            <w:tcW w:type="dxa" w:w="1881"/>
          </w:tcPr>
          <w:p>
            <w:r/>
            <w:r>
              <w:rPr>
                <w:rFonts w:ascii="Calibri" w:hAnsi="Calibri"/>
                <w:sz w:val="20"/>
              </w:rPr>
              <w:t>HSEQ Manager</w:t>
            </w:r>
          </w:p>
        </w:tc>
        <w:tc>
          <w:tcPr>
            <w:tcW w:type="dxa" w:w="1881"/>
          </w:tcPr>
          <w:p>
            <w:r/>
            <w:r>
              <w:rPr>
                <w:rFonts w:ascii="Calibri" w:hAnsi="Calibri"/>
                <w:sz w:val="20"/>
              </w:rPr>
              <w:t>HSEQ Manager</w:t>
            </w:r>
          </w:p>
        </w:tc>
        <w:tc>
          <w:tcPr>
            <w:tcW w:type="dxa" w:w="1881"/>
          </w:tcPr>
          <w:p>
            <w:r/>
            <w:r>
              <w:rPr>
                <w:rFonts w:ascii="Calibri" w:hAnsi="Calibri"/>
                <w:sz w:val="20"/>
              </w:rPr>
              <w:t>—</w:t>
            </w:r>
          </w:p>
        </w:tc>
        <w:tc>
          <w:tcPr>
            <w:tcW w:type="dxa" w:w="1881"/>
          </w:tcPr>
          <w:p>
            <w:r/>
            <w:r>
              <w:rPr>
                <w:rFonts w:ascii="Calibri" w:hAnsi="Calibri"/>
                <w:sz w:val="20"/>
              </w:rPr>
              <w:t>Kwartaallijks</w:t>
            </w:r>
          </w:p>
        </w:tc>
      </w:tr>
      <w:tr>
        <w:tc>
          <w:tcPr>
            <w:tcW w:type="dxa" w:w="1881"/>
            <w:shd w:fill="F8F9FA" w:val="clear"/>
          </w:tcPr>
          <w:p>
            <w:r/>
            <w:r>
              <w:rPr>
                <w:rFonts w:ascii="Calibri" w:hAnsi="Calibri"/>
                <w:sz w:val="20"/>
              </w:rPr>
              <w:t>Rapport</w:t>
            </w:r>
          </w:p>
        </w:tc>
        <w:tc>
          <w:tcPr>
            <w:tcW w:type="dxa" w:w="1881"/>
            <w:shd w:fill="F8F9FA" w:val="clear"/>
          </w:tcPr>
          <w:p>
            <w:r/>
            <w:r>
              <w:rPr>
                <w:rFonts w:ascii="Calibri" w:hAnsi="Calibri"/>
                <w:sz w:val="20"/>
              </w:rPr>
              <w:t>Auditor</w:t>
            </w:r>
          </w:p>
        </w:tc>
        <w:tc>
          <w:tcPr>
            <w:tcW w:type="dxa" w:w="1881"/>
            <w:shd w:fill="F8F9FA" w:val="clear"/>
          </w:tcPr>
          <w:p>
            <w:r/>
            <w:r>
              <w:rPr>
                <w:rFonts w:ascii="Calibri" w:hAnsi="Calibri"/>
                <w:sz w:val="20"/>
              </w:rPr>
              <w:t>HSEQ Manager</w:t>
            </w:r>
          </w:p>
        </w:tc>
        <w:tc>
          <w:tcPr>
            <w:tcW w:type="dxa" w:w="1881"/>
            <w:shd w:fill="F8F9FA" w:val="clear"/>
          </w:tcPr>
          <w:p>
            <w:r/>
            <w:r>
              <w:rPr>
                <w:rFonts w:ascii="Calibri" w:hAnsi="Calibri"/>
                <w:sz w:val="20"/>
              </w:rPr>
              <w:t>—</w:t>
            </w:r>
          </w:p>
        </w:tc>
        <w:tc>
          <w:tcPr>
            <w:tcW w:type="dxa" w:w="1881"/>
            <w:shd w:fill="F8F9FA" w:val="clear"/>
          </w:tcPr>
          <w:p>
            <w:r/>
            <w:r>
              <w:rPr>
                <w:rFonts w:ascii="Calibri" w:hAnsi="Calibri"/>
                <w:sz w:val="20"/>
              </w:rPr>
              <w:t>Per gelegenheid</w:t>
            </w:r>
          </w:p>
        </w:tc>
      </w:tr>
    </w:tbl>
    <w:p>
      <w:pPr>
        <w:pStyle w:val="Heading1"/>
      </w:pPr>
      <w:r>
        <w:rPr>
          <w:rFonts w:ascii="Calibri" w:hAnsi="Calibri"/>
          <w:color w:val="003366"/>
        </w:rPr>
        <w:t>7. Distributie &amp; Toegang</w:t>
      </w:r>
    </w:p>
    <w:p>
      <w:r>
        <w:t>Toegang tot VBS-documenten is gebaseerd op rol en verantwoordelijkheid. Het volgende overzicht toont de toegangsrechten per functie.</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val="clear"/>
          </w:tcPr>
          <w:p>
            <w:pPr>
              <w:jc w:val="left"/>
            </w:pPr>
            <w:r/>
            <w:r>
              <w:rPr>
                <w:rFonts w:ascii="Calibri" w:hAnsi="Calibri"/>
                <w:b/>
                <w:color w:val="FFFFFF"/>
                <w:sz w:val="20"/>
              </w:rPr>
              <w:t>Rol</w:t>
            </w:r>
          </w:p>
        </w:tc>
        <w:tc>
          <w:tcPr>
            <w:tcW w:type="dxa" w:w="1881"/>
            <w:shd w:fill="003366" w:val="clear"/>
          </w:tcPr>
          <w:p>
            <w:pPr>
              <w:jc w:val="left"/>
            </w:pPr>
            <w:r/>
            <w:r>
              <w:rPr>
                <w:rFonts w:ascii="Calibri" w:hAnsi="Calibri"/>
                <w:b/>
                <w:color w:val="FFFFFF"/>
                <w:sz w:val="20"/>
              </w:rPr>
              <w:t>Lezen</w:t>
            </w:r>
          </w:p>
        </w:tc>
        <w:tc>
          <w:tcPr>
            <w:tcW w:type="dxa" w:w="1881"/>
            <w:shd w:fill="003366" w:val="clear"/>
          </w:tcPr>
          <w:p>
            <w:pPr>
              <w:jc w:val="left"/>
            </w:pPr>
            <w:r/>
            <w:r>
              <w:rPr>
                <w:rFonts w:ascii="Calibri" w:hAnsi="Calibri"/>
                <w:b/>
                <w:color w:val="FFFFFF"/>
                <w:sz w:val="20"/>
              </w:rPr>
              <w:t>Bewerken</w:t>
            </w:r>
          </w:p>
        </w:tc>
        <w:tc>
          <w:tcPr>
            <w:tcW w:type="dxa" w:w="1881"/>
            <w:shd w:fill="003366" w:val="clear"/>
          </w:tcPr>
          <w:p>
            <w:pPr>
              <w:jc w:val="left"/>
            </w:pPr>
            <w:r/>
            <w:r>
              <w:rPr>
                <w:rFonts w:ascii="Calibri" w:hAnsi="Calibri"/>
                <w:b/>
                <w:color w:val="FFFFFF"/>
                <w:sz w:val="20"/>
              </w:rPr>
              <w:t>Goedkeuren</w:t>
            </w:r>
          </w:p>
        </w:tc>
        <w:tc>
          <w:tcPr>
            <w:tcW w:type="dxa" w:w="1881"/>
            <w:shd w:fill="003366" w:val="clear"/>
          </w:tcPr>
          <w:p>
            <w:pPr>
              <w:jc w:val="left"/>
            </w:pPr>
            <w:r/>
            <w:r>
              <w:rPr>
                <w:rFonts w:ascii="Calibri" w:hAnsi="Calibri"/>
                <w:b/>
                <w:color w:val="FFFFFF"/>
                <w:sz w:val="20"/>
              </w:rPr>
              <w:t>Elementen</w:t>
            </w:r>
          </w:p>
        </w:tc>
      </w:tr>
      <w:tr>
        <w:tc>
          <w:tcPr>
            <w:tcW w:type="dxa" w:w="1881"/>
          </w:tcPr>
          <w:p>
            <w:r/>
            <w:r>
              <w:rPr>
                <w:rFonts w:ascii="Calibri" w:hAnsi="Calibri"/>
                <w:sz w:val="20"/>
              </w:rPr>
              <w:t>HSEQ Manager (Jorick)</w:t>
            </w:r>
          </w:p>
        </w:tc>
        <w:tc>
          <w:tcPr>
            <w:tcW w:type="dxa" w:w="1881"/>
          </w:tcPr>
          <w:p>
            <w:r/>
            <w:r>
              <w:rPr>
                <w:rFonts w:ascii="Calibri" w:hAnsi="Calibri"/>
                <w:sz w:val="20"/>
              </w:rPr>
              <w:t>✓</w:t>
            </w:r>
          </w:p>
        </w:tc>
        <w:tc>
          <w:tcPr>
            <w:tcW w:type="dxa" w:w="1881"/>
          </w:tcPr>
          <w:p>
            <w:r/>
            <w:r>
              <w:rPr>
                <w:rFonts w:ascii="Calibri" w:hAnsi="Calibri"/>
                <w:sz w:val="20"/>
              </w:rPr>
              <w:t>✓</w:t>
            </w:r>
          </w:p>
        </w:tc>
        <w:tc>
          <w:tcPr>
            <w:tcW w:type="dxa" w:w="1881"/>
          </w:tcPr>
          <w:p>
            <w:r/>
            <w:r>
              <w:rPr>
                <w:rFonts w:ascii="Calibri" w:hAnsi="Calibri"/>
                <w:sz w:val="20"/>
              </w:rPr>
              <w:t>✓</w:t>
            </w:r>
          </w:p>
        </w:tc>
        <w:tc>
          <w:tcPr>
            <w:tcW w:type="dxa" w:w="1881"/>
          </w:tcPr>
          <w:p>
            <w:r/>
            <w:r>
              <w:rPr>
                <w:rFonts w:ascii="Calibri" w:hAnsi="Calibri"/>
                <w:sz w:val="20"/>
              </w:rPr>
              <w:t>E1–E7 + Master</w:t>
            </w:r>
          </w:p>
        </w:tc>
      </w:tr>
      <w:tr>
        <w:tc>
          <w:tcPr>
            <w:tcW w:type="dxa" w:w="1881"/>
            <w:shd w:fill="F8F9FA" w:val="clear"/>
          </w:tcPr>
          <w:p>
            <w:r/>
            <w:r>
              <w:rPr>
                <w:rFonts w:ascii="Calibri" w:hAnsi="Calibri"/>
                <w:sz w:val="20"/>
              </w:rPr>
              <w:t>Plant Manager (Stijn)</w:t>
            </w:r>
          </w:p>
        </w:tc>
        <w:tc>
          <w:tcPr>
            <w:tcW w:type="dxa" w:w="1881"/>
            <w:shd w:fill="F8F9FA" w:val="clear"/>
          </w:tcPr>
          <w:p>
            <w:r/>
            <w:r>
              <w:rPr>
                <w:rFonts w:ascii="Calibri" w:hAnsi="Calibri"/>
                <w:sz w:val="20"/>
              </w:rPr>
              <w:t>✓</w:t>
            </w:r>
          </w:p>
        </w:tc>
        <w:tc>
          <w:tcPr>
            <w:tcW w:type="dxa" w:w="1881"/>
            <w:shd w:fill="F8F9FA" w:val="clear"/>
          </w:tcPr>
          <w:p>
            <w:r/>
            <w:r>
              <w:rPr>
                <w:rFonts w:ascii="Calibri" w:hAnsi="Calibri"/>
                <w:sz w:val="20"/>
              </w:rPr>
              <w:t>✓</w:t>
            </w:r>
          </w:p>
        </w:tc>
        <w:tc>
          <w:tcPr>
            <w:tcW w:type="dxa" w:w="1881"/>
            <w:shd w:fill="F8F9FA" w:val="clear"/>
          </w:tcPr>
          <w:p>
            <w:r/>
            <w:r>
              <w:rPr>
                <w:rFonts w:ascii="Calibri" w:hAnsi="Calibri"/>
                <w:sz w:val="20"/>
              </w:rPr>
              <w:t>✓</w:t>
            </w:r>
          </w:p>
        </w:tc>
        <w:tc>
          <w:tcPr>
            <w:tcW w:type="dxa" w:w="1881"/>
            <w:shd w:fill="F8F9FA" w:val="clear"/>
          </w:tcPr>
          <w:p>
            <w:r/>
            <w:r>
              <w:rPr>
                <w:rFonts w:ascii="Calibri" w:hAnsi="Calibri"/>
                <w:sz w:val="20"/>
              </w:rPr>
              <w:t>E1–E7 + Master</w:t>
            </w:r>
          </w:p>
        </w:tc>
      </w:tr>
      <w:tr>
        <w:tc>
          <w:tcPr>
            <w:tcW w:type="dxa" w:w="1881"/>
          </w:tcPr>
          <w:p>
            <w:r/>
            <w:r>
              <w:rPr>
                <w:rFonts w:ascii="Calibri" w:hAnsi="Calibri"/>
                <w:sz w:val="20"/>
              </w:rPr>
              <w:t>Supervisors</w:t>
            </w:r>
          </w:p>
        </w:tc>
        <w:tc>
          <w:tcPr>
            <w:tcW w:type="dxa" w:w="1881"/>
          </w:tcPr>
          <w:p>
            <w:r/>
            <w:r>
              <w:rPr>
                <w:rFonts w:ascii="Calibri" w:hAnsi="Calibri"/>
                <w:sz w:val="20"/>
              </w:rPr>
              <w:t>✓</w:t>
            </w:r>
          </w:p>
        </w:tc>
        <w:tc>
          <w:tcPr>
            <w:tcW w:type="dxa" w:w="1881"/>
          </w:tcPr>
          <w:p>
            <w:r/>
            <w:r>
              <w:rPr>
                <w:rFonts w:ascii="Calibri" w:hAnsi="Calibri"/>
                <w:sz w:val="20"/>
              </w:rPr>
              <w:t>✓ (beperkt)</w:t>
            </w:r>
          </w:p>
        </w:tc>
        <w:tc>
          <w:tcPr>
            <w:tcW w:type="dxa" w:w="1881"/>
          </w:tcPr>
          <w:p>
            <w:r/>
            <w:r>
              <w:rPr>
                <w:rFonts w:ascii="Calibri" w:hAnsi="Calibri"/>
                <w:sz w:val="20"/>
              </w:rPr>
              <w:t>—</w:t>
            </w:r>
          </w:p>
        </w:tc>
        <w:tc>
          <w:tcPr>
            <w:tcW w:type="dxa" w:w="1881"/>
          </w:tcPr>
          <w:p>
            <w:r/>
            <w:r>
              <w:rPr>
                <w:rFonts w:ascii="Calibri" w:hAnsi="Calibri"/>
                <w:sz w:val="20"/>
              </w:rPr>
              <w:t>E3, E4, E5</w:t>
            </w:r>
          </w:p>
        </w:tc>
      </w:tr>
      <w:tr>
        <w:tc>
          <w:tcPr>
            <w:tcW w:type="dxa" w:w="1881"/>
            <w:shd w:fill="F8F9FA" w:val="clear"/>
          </w:tcPr>
          <w:p>
            <w:r/>
            <w:r>
              <w:rPr>
                <w:rFonts w:ascii="Calibri" w:hAnsi="Calibri"/>
                <w:sz w:val="20"/>
              </w:rPr>
              <w:t>Medewerkers</w:t>
            </w:r>
          </w:p>
        </w:tc>
        <w:tc>
          <w:tcPr>
            <w:tcW w:type="dxa" w:w="1881"/>
            <w:shd w:fill="F8F9FA" w:val="clear"/>
          </w:tcPr>
          <w:p>
            <w:r/>
            <w:r>
              <w:rPr>
                <w:rFonts w:ascii="Calibri" w:hAnsi="Calibri"/>
                <w:sz w:val="20"/>
              </w:rPr>
              <w:t>✓</w:t>
            </w:r>
          </w:p>
        </w:tc>
        <w:tc>
          <w:tcPr>
            <w:tcW w:type="dxa" w:w="1881"/>
            <w:shd w:fill="F8F9FA" w:val="clear"/>
          </w:tcPr>
          <w:p>
            <w:r/>
            <w:r>
              <w:rPr>
                <w:rFonts w:ascii="Calibri" w:hAnsi="Calibri"/>
                <w:sz w:val="20"/>
              </w:rPr>
              <w:t>—</w:t>
            </w:r>
          </w:p>
        </w:tc>
        <w:tc>
          <w:tcPr>
            <w:tcW w:type="dxa" w:w="1881"/>
            <w:shd w:fill="F8F9FA" w:val="clear"/>
          </w:tcPr>
          <w:p>
            <w:r/>
            <w:r>
              <w:rPr>
                <w:rFonts w:ascii="Calibri" w:hAnsi="Calibri"/>
                <w:sz w:val="20"/>
              </w:rPr>
              <w:t>—</w:t>
            </w:r>
          </w:p>
        </w:tc>
        <w:tc>
          <w:tcPr>
            <w:tcW w:type="dxa" w:w="1881"/>
            <w:shd w:fill="F8F9FA" w:val="clear"/>
          </w:tcPr>
          <w:p>
            <w:r/>
            <w:r>
              <w:rPr>
                <w:rFonts w:ascii="Calibri" w:hAnsi="Calibri"/>
                <w:sz w:val="20"/>
              </w:rPr>
              <w:t>E4 noodplan, eigen procedures</w:t>
            </w:r>
          </w:p>
        </w:tc>
      </w:tr>
      <w:tr>
        <w:tc>
          <w:tcPr>
            <w:tcW w:type="dxa" w:w="1881"/>
          </w:tcPr>
          <w:p>
            <w:r/>
            <w:r>
              <w:rPr>
                <w:rFonts w:ascii="Calibri" w:hAnsi="Calibri"/>
                <w:sz w:val="20"/>
              </w:rPr>
              <w:t>Externen/Aannemers</w:t>
            </w:r>
          </w:p>
        </w:tc>
        <w:tc>
          <w:tcPr>
            <w:tcW w:type="dxa" w:w="1881"/>
          </w:tcPr>
          <w:p>
            <w:r/>
            <w:r>
              <w:rPr>
                <w:rFonts w:ascii="Calibri" w:hAnsi="Calibri"/>
                <w:sz w:val="20"/>
              </w:rPr>
              <w:t>✓ (op aanvraag)</w:t>
            </w:r>
          </w:p>
        </w:tc>
        <w:tc>
          <w:tcPr>
            <w:tcW w:type="dxa" w:w="1881"/>
          </w:tcPr>
          <w:p>
            <w:r/>
            <w:r>
              <w:rPr>
                <w:rFonts w:ascii="Calibri" w:hAnsi="Calibri"/>
                <w:sz w:val="20"/>
              </w:rPr>
              <w:t>—</w:t>
            </w:r>
          </w:p>
        </w:tc>
        <w:tc>
          <w:tcPr>
            <w:tcW w:type="dxa" w:w="1881"/>
          </w:tcPr>
          <w:p>
            <w:r/>
            <w:r>
              <w:rPr>
                <w:rFonts w:ascii="Calibri" w:hAnsi="Calibri"/>
                <w:sz w:val="20"/>
              </w:rPr>
              <w:t>—</w:t>
            </w:r>
          </w:p>
        </w:tc>
        <w:tc>
          <w:tcPr>
            <w:tcW w:type="dxa" w:w="1881"/>
          </w:tcPr>
          <w:p>
            <w:r/>
            <w:r>
              <w:rPr>
                <w:rFonts w:ascii="Calibri" w:hAnsi="Calibri"/>
                <w:sz w:val="20"/>
              </w:rPr>
              <w:t>Alleen via goedkeuring HSEQ Manager</w:t>
            </w:r>
          </w:p>
        </w:tc>
      </w:tr>
    </w:tbl>
    <w:p>
      <w:pPr>
        <w:pStyle w:val="Heading1"/>
      </w:pPr>
      <w:r>
        <w:rPr>
          <w:rFonts w:ascii="Calibri" w:hAnsi="Calibri"/>
          <w:color w:val="003366"/>
        </w:rPr>
        <w:t>8. Opslagstructuur</w:t>
      </w:r>
    </w:p>
    <w:p>
      <w:r>
        <w:t>De VBS-documenten zijn opgeslagen in een gestructureerde mappenhiërarchie op SharePoint/Windows. Elke elementmap bevat submappen voor deliverables, archief en werkdocumenten.</w:t>
      </w:r>
    </w:p>
    <w:p>
      <w:pPr>
        <w:spacing w:after="40"/>
      </w:pPr>
      <w:r>
        <w:rPr>
          <w:rFonts w:ascii="Consolas" w:hAnsi="Consolas"/>
          <w:sz w:val="20"/>
        </w:rPr>
        <w:t>00_Master_Index/</w:t>
      </w:r>
    </w:p>
    <w:p>
      <w:pPr>
        <w:spacing w:after="40"/>
      </w:pPr>
      <w:r>
        <w:rPr>
          <w:rFonts w:ascii="Consolas" w:hAnsi="Consolas"/>
          <w:sz w:val="20"/>
        </w:rPr>
        <w:t>01_VBS_Beleid_En_Organisatie/</w:t>
      </w:r>
    </w:p>
    <w:p>
      <w:pPr>
        <w:spacing w:after="40"/>
      </w:pPr>
      <w:r>
        <w:rPr>
          <w:rFonts w:ascii="Consolas" w:hAnsi="Consolas"/>
          <w:sz w:val="20"/>
        </w:rPr>
        <w:t xml:space="preserve">   ├── deliverables/</w:t>
      </w:r>
    </w:p>
    <w:p>
      <w:pPr>
        <w:spacing w:after="40"/>
      </w:pPr>
      <w:r>
        <w:rPr>
          <w:rFonts w:ascii="Consolas" w:hAnsi="Consolas"/>
          <w:sz w:val="20"/>
        </w:rPr>
        <w:t xml:space="preserve">   ├── archive/</w:t>
      </w:r>
    </w:p>
    <w:p>
      <w:pPr>
        <w:spacing w:after="40"/>
      </w:pPr>
      <w:r>
        <w:rPr>
          <w:rFonts w:ascii="Consolas" w:hAnsi="Consolas"/>
          <w:sz w:val="20"/>
        </w:rPr>
        <w:t xml:space="preserve">   └── working/</w:t>
      </w:r>
    </w:p>
    <w:p>
      <w:pPr>
        <w:spacing w:after="40"/>
      </w:pPr>
      <w:r>
        <w:rPr>
          <w:rFonts w:ascii="Consolas" w:hAnsi="Consolas"/>
          <w:sz w:val="20"/>
        </w:rPr>
        <w:t>02_Gevaaridentificatie/</w:t>
      </w:r>
    </w:p>
    <w:p>
      <w:pPr>
        <w:spacing w:after="40"/>
      </w:pPr>
      <w:r>
        <w:rPr>
          <w:rFonts w:ascii="Consolas" w:hAnsi="Consolas"/>
          <w:sz w:val="20"/>
        </w:rPr>
        <w:t>03_Exploitatiecontrole/</w:t>
      </w:r>
    </w:p>
    <w:p>
      <w:pPr>
        <w:spacing w:after="40"/>
      </w:pPr>
      <w:r>
        <w:rPr>
          <w:rFonts w:ascii="Consolas" w:hAnsi="Consolas"/>
          <w:sz w:val="20"/>
        </w:rPr>
        <w:t>04_Noodplanning/</w:t>
      </w:r>
    </w:p>
    <w:p>
      <w:pPr>
        <w:spacing w:after="40"/>
      </w:pPr>
      <w:r>
        <w:rPr>
          <w:rFonts w:ascii="Consolas" w:hAnsi="Consolas"/>
          <w:sz w:val="20"/>
        </w:rPr>
        <w:t>05_Wijzigingenbeheer/</w:t>
      </w:r>
    </w:p>
    <w:p>
      <w:pPr>
        <w:spacing w:after="40"/>
      </w:pPr>
      <w:r>
        <w:rPr>
          <w:rFonts w:ascii="Consolas" w:hAnsi="Consolas"/>
          <w:sz w:val="20"/>
        </w:rPr>
        <w:t>06_Toezicht/</w:t>
      </w:r>
    </w:p>
    <w:p>
      <w:pPr>
        <w:spacing w:after="40"/>
      </w:pPr>
      <w:r>
        <w:rPr>
          <w:rFonts w:ascii="Consolas" w:hAnsi="Consolas"/>
          <w:sz w:val="20"/>
        </w:rPr>
        <w:t>07_Controle_Analyse/</w:t>
      </w:r>
    </w:p>
    <w:p>
      <w:pPr>
        <w:spacing w:after="40"/>
      </w:pPr>
      <w:r>
        <w:rPr>
          <w:rFonts w:ascii="Consolas" w:hAnsi="Consolas"/>
          <w:sz w:val="20"/>
        </w:rPr>
        <w:t>99_Archief/</w:t>
      </w:r>
    </w:p>
    <w:p>
      <w:pPr>
        <w:pStyle w:val="Heading1"/>
      </w:pPr>
      <w:r>
        <w:rPr>
          <w:rFonts w:ascii="Calibri" w:hAnsi="Calibri"/>
          <w:color w:val="003366"/>
        </w:rPr>
        <w:t>9. Kwaliteitscontrole</w:t>
      </w:r>
    </w:p>
    <w:p>
      <w:pPr>
        <w:pStyle w:val="Heading2"/>
      </w:pPr>
      <w:r>
        <w:rPr>
          <w:rFonts w:ascii="Calibri" w:hAnsi="Calibri"/>
          <w:color w:val="003366"/>
        </w:rPr>
        <w:t>9.1 Pre-publicatie Checklist</w:t>
      </w:r>
    </w:p>
    <w:p>
      <w:pPr>
        <w:pStyle w:val="ListBullet"/>
      </w:pPr>
      <w:r>
        <w:t>1. Document volgt het juiste nummeringssysteem (§5)</w:t>
      </w:r>
    </w:p>
    <w:p>
      <w:pPr>
        <w:pStyle w:val="ListBullet"/>
      </w:pPr>
      <w:r>
        <w:t>2. Versienummer correct toegewezen (§4)</w:t>
      </w:r>
    </w:p>
    <w:p>
      <w:pPr>
        <w:pStyle w:val="ListBullet"/>
      </w:pPr>
      <w:r>
        <w:t>3. Alle secties volledig ingevuld — geen placeholders</w:t>
      </w:r>
    </w:p>
    <w:p>
      <w:pPr>
        <w:pStyle w:val="ListBullet"/>
      </w:pPr>
      <w:r>
        <w:t>4. Bronverwijzingen [1][2][3] aanwezig bij feitelijke claims</w:t>
      </w:r>
    </w:p>
    <w:p>
      <w:pPr>
        <w:pStyle w:val="ListBullet"/>
      </w:pPr>
      <w:r>
        <w:t>5. Logo en huisstijl conform STYLEGUIDE §8</w:t>
      </w:r>
    </w:p>
    <w:p>
      <w:pPr>
        <w:pStyle w:val="ListBullet"/>
      </w:pPr>
      <w:r>
        <w:t>6. Documentheader met Project, Type, Auteur, Versie, Datum, Status</w:t>
      </w:r>
    </w:p>
    <w:p>
      <w:pPr>
        <w:pStyle w:val="ListBullet"/>
      </w:pPr>
      <w:r>
        <w:t>7. Reviewers en goedkeurders conform §6 matrix</w:t>
      </w:r>
    </w:p>
    <w:p>
      <w:pPr>
        <w:pStyle w:val="ListBullet"/>
      </w:pPr>
      <w:r>
        <w:t>8. Spelling en grammatica gecontroleerd</w:t>
      </w:r>
    </w:p>
    <w:p>
      <w:pPr>
        <w:pStyle w:val="ListBullet"/>
      </w:pPr>
      <w:r>
        <w:t>9. Bestandsnaam conform §5 format</w:t>
      </w:r>
    </w:p>
    <w:p>
      <w:pPr>
        <w:pStyle w:val="Heading2"/>
      </w:pPr>
      <w:r>
        <w:rPr>
          <w:rFonts w:ascii="Calibri" w:hAnsi="Calibri"/>
          <w:color w:val="003366"/>
        </w:rPr>
        <w:t>9.2 Post-review Validatie</w:t>
      </w:r>
    </w:p>
    <w:p>
      <w:r>
        <w:t>Na review controleert de HSEQ Manager of alle feedback is verwerkt, goedkeuringsworkflow is afgerond en het document klaar is voor publicatie.</w:t>
      </w:r>
    </w:p>
    <w:p>
      <w:pPr>
        <w:pStyle w:val="Heading2"/>
      </w:pPr>
      <w:r>
        <w:rPr>
          <w:rFonts w:ascii="Calibri" w:hAnsi="Calibri"/>
          <w:color w:val="003366"/>
        </w:rPr>
        <w:t>9.3 Jaarlijkse QC Audit</w:t>
      </w:r>
    </w:p>
    <w:p>
      <w:r>
        <w:t>Eenmaal per jaar voert de HSEQ Manager een volledige QC audit uit op het VBS-documentenbestand. De audit omvat: versieconsistentie, naleving reviewfrequentie, toegangsrechten, archiveringsstatus en actualiteit van inhoud [3].</w:t>
      </w:r>
    </w:p>
    <w:p>
      <w:pPr>
        <w:pStyle w:val="Heading1"/>
      </w:pPr>
      <w:r>
        <w:rPr>
          <w:rFonts w:ascii="Calibri" w:hAnsi="Calibri"/>
          <w:color w:val="003366"/>
        </w:rPr>
        <w:t>10. Record Retention</w:t>
      </w:r>
    </w:p>
    <w:p>
      <w:r>
        <w:t>De bewaartermijnen voor VBS-documenten zijn vastgelegd conform Arbowetgeving en bedrijfsbeleid [2].</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Documenttype</w:t>
            </w:r>
          </w:p>
        </w:tc>
        <w:tc>
          <w:tcPr>
            <w:tcW w:type="dxa" w:w="3135"/>
            <w:shd w:fill="003366" w:val="clear"/>
          </w:tcPr>
          <w:p>
            <w:pPr>
              <w:jc w:val="left"/>
            </w:pPr>
            <w:r/>
            <w:r>
              <w:rPr>
                <w:rFonts w:ascii="Calibri" w:hAnsi="Calibri"/>
                <w:b/>
                <w:color w:val="FFFFFF"/>
                <w:sz w:val="20"/>
              </w:rPr>
              <w:t>Bewaartermijn</w:t>
            </w:r>
          </w:p>
        </w:tc>
        <w:tc>
          <w:tcPr>
            <w:tcW w:type="dxa" w:w="3135"/>
            <w:shd w:fill="003366" w:val="clear"/>
          </w:tcPr>
          <w:p>
            <w:pPr>
              <w:jc w:val="left"/>
            </w:pPr>
            <w:r/>
            <w:r>
              <w:rPr>
                <w:rFonts w:ascii="Calibri" w:hAnsi="Calibri"/>
                <w:b/>
                <w:color w:val="FFFFFF"/>
                <w:sz w:val="20"/>
              </w:rPr>
              <w:t>Opmerking</w:t>
            </w:r>
          </w:p>
        </w:tc>
      </w:tr>
      <w:tr>
        <w:tc>
          <w:tcPr>
            <w:tcW w:type="dxa" w:w="3135"/>
          </w:tcPr>
          <w:p>
            <w:r/>
            <w:r>
              <w:rPr>
                <w:rFonts w:ascii="Calibri" w:hAnsi="Calibri"/>
                <w:sz w:val="20"/>
              </w:rPr>
              <w:t>Actieve documenten</w:t>
            </w:r>
          </w:p>
        </w:tc>
        <w:tc>
          <w:tcPr>
            <w:tcW w:type="dxa" w:w="3135"/>
          </w:tcPr>
          <w:p>
            <w:r/>
            <w:r>
              <w:rPr>
                <w:rFonts w:ascii="Calibri" w:hAnsi="Calibri"/>
                <w:sz w:val="20"/>
              </w:rPr>
              <w:t>Onbeperkt</w:t>
            </w:r>
          </w:p>
        </w:tc>
        <w:tc>
          <w:tcPr>
            <w:tcW w:type="dxa" w:w="3135"/>
          </w:tcPr>
          <w:p>
            <w:r/>
            <w:r>
              <w:rPr>
                <w:rFonts w:ascii="Calibri" w:hAnsi="Calibri"/>
                <w:sz w:val="20"/>
              </w:rPr>
              <w:t>Altijd actueel, versiebeheer via DMS</w:t>
            </w:r>
          </w:p>
        </w:tc>
      </w:tr>
      <w:tr>
        <w:tc>
          <w:tcPr>
            <w:tcW w:type="dxa" w:w="3135"/>
            <w:shd w:fill="F8F9FA" w:val="clear"/>
          </w:tcPr>
          <w:p>
            <w:r/>
            <w:r>
              <w:rPr>
                <w:rFonts w:ascii="Calibri" w:hAnsi="Calibri"/>
                <w:sz w:val="20"/>
              </w:rPr>
              <w:t>Gearchiveerde versies</w:t>
            </w:r>
          </w:p>
        </w:tc>
        <w:tc>
          <w:tcPr>
            <w:tcW w:type="dxa" w:w="3135"/>
            <w:shd w:fill="F8F9FA" w:val="clear"/>
          </w:tcPr>
          <w:p>
            <w:r/>
            <w:r>
              <w:rPr>
                <w:rFonts w:ascii="Calibri" w:hAnsi="Calibri"/>
                <w:sz w:val="20"/>
              </w:rPr>
              <w:t>10 jaar</w:t>
            </w:r>
          </w:p>
        </w:tc>
        <w:tc>
          <w:tcPr>
            <w:tcW w:type="dxa" w:w="3135"/>
            <w:shd w:fill="F8F9FA" w:val="clear"/>
          </w:tcPr>
          <w:p>
            <w:r/>
            <w:r>
              <w:rPr>
                <w:rFonts w:ascii="Calibri" w:hAnsi="Calibri"/>
                <w:sz w:val="20"/>
              </w:rPr>
              <w:t>Bewaren in /archive/ met datumstempel</w:t>
            </w:r>
          </w:p>
        </w:tc>
      </w:tr>
      <w:tr>
        <w:tc>
          <w:tcPr>
            <w:tcW w:type="dxa" w:w="3135"/>
          </w:tcPr>
          <w:p>
            <w:r/>
            <w:r>
              <w:rPr>
                <w:rFonts w:ascii="Calibri" w:hAnsi="Calibri"/>
                <w:sz w:val="20"/>
              </w:rPr>
              <w:t>Audit logs</w:t>
            </w:r>
          </w:p>
        </w:tc>
        <w:tc>
          <w:tcPr>
            <w:tcW w:type="dxa" w:w="3135"/>
          </w:tcPr>
          <w:p>
            <w:r/>
            <w:r>
              <w:rPr>
                <w:rFonts w:ascii="Calibri" w:hAnsi="Calibri"/>
                <w:sz w:val="20"/>
              </w:rPr>
              <w:t>10 jaar</w:t>
            </w:r>
          </w:p>
        </w:tc>
        <w:tc>
          <w:tcPr>
            <w:tcW w:type="dxa" w:w="3135"/>
          </w:tcPr>
          <w:p>
            <w:r/>
            <w:r>
              <w:rPr>
                <w:rFonts w:ascii="Calibri" w:hAnsi="Calibri"/>
                <w:sz w:val="20"/>
              </w:rPr>
              <w:t>Bewaren in DMS audit trail</w:t>
            </w:r>
          </w:p>
        </w:tc>
      </w:tr>
      <w:tr>
        <w:tc>
          <w:tcPr>
            <w:tcW w:type="dxa" w:w="3135"/>
            <w:shd w:fill="F8F9FA" w:val="clear"/>
          </w:tcPr>
          <w:p>
            <w:r/>
            <w:r>
              <w:rPr>
                <w:rFonts w:ascii="Calibri" w:hAnsi="Calibri"/>
                <w:sz w:val="20"/>
              </w:rPr>
              <w:t>Training records</w:t>
            </w:r>
          </w:p>
        </w:tc>
        <w:tc>
          <w:tcPr>
            <w:tcW w:type="dxa" w:w="3135"/>
            <w:shd w:fill="F8F9FA" w:val="clear"/>
          </w:tcPr>
          <w:p>
            <w:r/>
            <w:r>
              <w:rPr>
                <w:rFonts w:ascii="Calibri" w:hAnsi="Calibri"/>
                <w:sz w:val="20"/>
              </w:rPr>
              <w:t>5 jaar</w:t>
            </w:r>
          </w:p>
        </w:tc>
        <w:tc>
          <w:tcPr>
            <w:tcW w:type="dxa" w:w="3135"/>
            <w:shd w:fill="F8F9FA" w:val="clear"/>
          </w:tcPr>
          <w:p>
            <w:r/>
            <w:r>
              <w:rPr>
                <w:rFonts w:ascii="Calibri" w:hAnsi="Calibri"/>
                <w:sz w:val="20"/>
              </w:rPr>
              <w:t>Koppeling aan personeelsdossier</w:t>
            </w:r>
          </w:p>
        </w:tc>
      </w:tr>
      <w:tr>
        <w:tc>
          <w:tcPr>
            <w:tcW w:type="dxa" w:w="3135"/>
          </w:tcPr>
          <w:p>
            <w:r/>
            <w:r>
              <w:rPr>
                <w:rFonts w:ascii="Calibri" w:hAnsi="Calibri"/>
                <w:sz w:val="20"/>
              </w:rPr>
              <w:t>Incident rapporten</w:t>
            </w:r>
          </w:p>
        </w:tc>
        <w:tc>
          <w:tcPr>
            <w:tcW w:type="dxa" w:w="3135"/>
          </w:tcPr>
          <w:p>
            <w:r/>
            <w:r>
              <w:rPr>
                <w:rFonts w:ascii="Calibri" w:hAnsi="Calibri"/>
                <w:sz w:val="20"/>
              </w:rPr>
              <w:t>10 jaar</w:t>
            </w:r>
          </w:p>
        </w:tc>
        <w:tc>
          <w:tcPr>
            <w:tcW w:type="dxa" w:w="3135"/>
          </w:tcPr>
          <w:p>
            <w:r/>
            <w:r>
              <w:rPr>
                <w:rFonts w:ascii="Calibri" w:hAnsi="Calibri"/>
                <w:sz w:val="20"/>
              </w:rPr>
              <w:t>Bewaren conform Arbowet art. 12</w:t>
            </w:r>
          </w:p>
        </w:tc>
      </w:tr>
    </w:tbl>
    <w:p>
      <w:r>
        <w:br w:type="page"/>
      </w:r>
    </w:p>
    <w:p>
      <w:pPr>
        <w:pStyle w:val="Heading1"/>
      </w:pPr>
      <w:r>
        <w:rPr>
          <w:rFonts w:ascii="Calibri" w:hAnsi="Calibri"/>
          <w:color w:val="003366"/>
        </w:rPr>
        <w:t>Bronnenlijst</w:t>
      </w:r>
    </w:p>
    <w:p>
      <w:r>
        <w:t>[1] NTA 8620:2020 — Veiligheidsbewijzenstelsel (VBS) voor processen met gevaarlijke stoffen</w:t>
      </w:r>
    </w:p>
    <w:p>
      <w:r>
        <w:t>[2] Arbowet (Wet van 18 maart 1999) — Arbeidsomstandighedenwet, art. 3, 12</w:t>
      </w:r>
    </w:p>
    <w:p>
      <w:r>
        <w:t>[3] ISO 9001:2015 — Kwaliteitsmanagementsystemen, §7.5 Documented information</w:t>
      </w:r>
    </w:p>
    <w:p>
      <w:r>
        <w:t>[4] Brzo 2015 — Besluit risico's zware ongevallen 2015</w:t>
      </w:r>
    </w:p>
    <w:p>
      <w:r>
        <w:t>[5] Phoenix Metals — VBS Master Document Register v1.0</w:t>
      </w:r>
    </w:p>
    <w:p>
      <w:pPr>
        <w:pStyle w:val="Heading1"/>
      </w:pPr>
      <w:r>
        <w:rPr>
          <w:rFonts w:ascii="Calibri" w:hAnsi="Calibri"/>
          <w:color w:val="003366"/>
        </w:rPr>
        <w:t>TierVerify Log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Check</w:t>
            </w:r>
          </w:p>
        </w:tc>
        <w:tc>
          <w:tcPr>
            <w:tcW w:type="dxa" w:w="3135"/>
            <w:shd w:fill="003366" w:val="clear"/>
          </w:tcPr>
          <w:p>
            <w:pPr>
              <w:jc w:val="left"/>
            </w:pPr>
            <w:r/>
            <w:r>
              <w:rPr>
                <w:rFonts w:ascii="Calibri" w:hAnsi="Calibri"/>
                <w:b/>
                <w:color w:val="FFFFFF"/>
                <w:sz w:val="20"/>
              </w:rPr>
              <w:t>Details</w:t>
            </w:r>
          </w:p>
        </w:tc>
        <w:tc>
          <w:tcPr>
            <w:tcW w:type="dxa" w:w="3135"/>
            <w:shd w:fill="003366" w:val="clear"/>
          </w:tcPr>
          <w:p>
            <w:pPr>
              <w:jc w:val="left"/>
            </w:pPr>
            <w:r/>
            <w:r>
              <w:rPr>
                <w:rFonts w:ascii="Calibri" w:hAnsi="Calibri"/>
                <w:b/>
                <w:color w:val="FFFFFF"/>
                <w:sz w:val="20"/>
              </w:rPr>
              <w:t>Status</w:t>
            </w:r>
          </w:p>
        </w:tc>
      </w:tr>
      <w:tr>
        <w:tc>
          <w:tcPr>
            <w:tcW w:type="dxa" w:w="3135"/>
          </w:tcPr>
          <w:p>
            <w:r/>
            <w:r>
              <w:rPr>
                <w:rFonts w:ascii="Calibri" w:hAnsi="Calibri"/>
                <w:sz w:val="20"/>
              </w:rPr>
              <w:t>Bronverwijzingen</w:t>
            </w:r>
          </w:p>
        </w:tc>
        <w:tc>
          <w:tcPr>
            <w:tcW w:type="dxa" w:w="3135"/>
          </w:tcPr>
          <w:p>
            <w:r/>
            <w:r>
              <w:rPr>
                <w:rFonts w:ascii="Calibri" w:hAnsi="Calibri"/>
                <w:sz w:val="20"/>
              </w:rPr>
              <w:t>Alle feitelijke claims voorzien van [1]–[5] notatie</w:t>
            </w:r>
          </w:p>
        </w:tc>
        <w:tc>
          <w:tcPr>
            <w:tcW w:type="dxa" w:w="3135"/>
          </w:tcPr>
          <w:p>
            <w:r/>
            <w:r>
              <w:rPr>
                <w:rFonts w:ascii="Calibri" w:hAnsi="Calibri"/>
                <w:sz w:val="20"/>
              </w:rPr>
              <w:t>✓ Pass</w:t>
            </w:r>
          </w:p>
        </w:tc>
      </w:tr>
      <w:tr>
        <w:tc>
          <w:tcPr>
            <w:tcW w:type="dxa" w:w="3135"/>
            <w:shd w:fill="F8F9FA" w:val="clear"/>
          </w:tcPr>
          <w:p>
            <w:r/>
            <w:r>
              <w:rPr>
                <w:rFonts w:ascii="Calibri" w:hAnsi="Calibri"/>
                <w:sz w:val="20"/>
              </w:rPr>
              <w:t>Huisstijl</w:t>
            </w:r>
          </w:p>
        </w:tc>
        <w:tc>
          <w:tcPr>
            <w:tcW w:type="dxa" w:w="3135"/>
            <w:shd w:fill="F8F9FA" w:val="clear"/>
          </w:tcPr>
          <w:p>
            <w:r/>
            <w:r>
              <w:rPr>
                <w:rFonts w:ascii="Calibri" w:hAnsi="Calibri"/>
                <w:sz w:val="20"/>
              </w:rPr>
              <w:t>Logo, kleuren (#003366), Calibri font conform STYLEGUIDE</w:t>
            </w:r>
          </w:p>
        </w:tc>
        <w:tc>
          <w:tcPr>
            <w:tcW w:type="dxa" w:w="3135"/>
            <w:shd w:fill="F8F9FA" w:val="clear"/>
          </w:tcPr>
          <w:p>
            <w:r/>
            <w:r>
              <w:rPr>
                <w:rFonts w:ascii="Calibri" w:hAnsi="Calibri"/>
                <w:sz w:val="20"/>
              </w:rPr>
              <w:t>✓ Pass</w:t>
            </w:r>
          </w:p>
        </w:tc>
      </w:tr>
      <w:tr>
        <w:tc>
          <w:tcPr>
            <w:tcW w:type="dxa" w:w="3135"/>
          </w:tcPr>
          <w:p>
            <w:r/>
            <w:r>
              <w:rPr>
                <w:rFonts w:ascii="Calibri" w:hAnsi="Calibri"/>
                <w:sz w:val="20"/>
              </w:rPr>
              <w:t>Documentheader</w:t>
            </w:r>
          </w:p>
        </w:tc>
        <w:tc>
          <w:tcPr>
            <w:tcW w:type="dxa" w:w="3135"/>
          </w:tcPr>
          <w:p>
            <w:r/>
            <w:r>
              <w:rPr>
                <w:rFonts w:ascii="Calibri" w:hAnsi="Calibri"/>
                <w:sz w:val="20"/>
              </w:rPr>
              <w:t>Project, Type, Auteur, Versie, Datum, Status aanwezig</w:t>
            </w:r>
          </w:p>
        </w:tc>
        <w:tc>
          <w:tcPr>
            <w:tcW w:type="dxa" w:w="3135"/>
          </w:tcPr>
          <w:p>
            <w:r/>
            <w:r>
              <w:rPr>
                <w:rFonts w:ascii="Calibri" w:hAnsi="Calibri"/>
                <w:sz w:val="20"/>
              </w:rPr>
              <w:t>✓ Pass</w:t>
            </w:r>
          </w:p>
        </w:tc>
      </w:tr>
      <w:tr>
        <w:tc>
          <w:tcPr>
            <w:tcW w:type="dxa" w:w="3135"/>
            <w:shd w:fill="F8F9FA" w:val="clear"/>
          </w:tcPr>
          <w:p>
            <w:r/>
            <w:r>
              <w:rPr>
                <w:rFonts w:ascii="Calibri" w:hAnsi="Calibri"/>
                <w:sz w:val="20"/>
              </w:rPr>
              <w:t>Nummeringssysteem</w:t>
            </w:r>
          </w:p>
        </w:tc>
        <w:tc>
          <w:tcPr>
            <w:tcW w:type="dxa" w:w="3135"/>
            <w:shd w:fill="F8F9FA" w:val="clear"/>
          </w:tcPr>
          <w:p>
            <w:r/>
            <w:r>
              <w:rPr>
                <w:rFonts w:ascii="Calibri" w:hAnsi="Calibri"/>
                <w:sz w:val="20"/>
              </w:rPr>
              <w:t>Format PM_VBS[XX]_[NN] consistent toegepast</w:t>
            </w:r>
          </w:p>
        </w:tc>
        <w:tc>
          <w:tcPr>
            <w:tcW w:type="dxa" w:w="3135"/>
            <w:shd w:fill="F8F9FA" w:val="clear"/>
          </w:tcPr>
          <w:p>
            <w:r/>
            <w:r>
              <w:rPr>
                <w:rFonts w:ascii="Calibri" w:hAnsi="Calibri"/>
                <w:sz w:val="20"/>
              </w:rPr>
              <w:t>✓ Pass</w:t>
            </w:r>
          </w:p>
        </w:tc>
      </w:tr>
      <w:tr>
        <w:tc>
          <w:tcPr>
            <w:tcW w:type="dxa" w:w="3135"/>
          </w:tcPr>
          <w:p>
            <w:r/>
            <w:r>
              <w:rPr>
                <w:rFonts w:ascii="Calibri" w:hAnsi="Calibri"/>
                <w:sz w:val="20"/>
              </w:rPr>
              <w:t>Reviewfrequenties</w:t>
            </w:r>
          </w:p>
        </w:tc>
        <w:tc>
          <w:tcPr>
            <w:tcW w:type="dxa" w:w="3135"/>
          </w:tcPr>
          <w:p>
            <w:r/>
            <w:r>
              <w:rPr>
                <w:rFonts w:ascii="Calibri" w:hAnsi="Calibri"/>
                <w:sz w:val="20"/>
              </w:rPr>
              <w:t>Alle niveaus voorzien van reviewfrequentie</w:t>
            </w:r>
          </w:p>
        </w:tc>
        <w:tc>
          <w:tcPr>
            <w:tcW w:type="dxa" w:w="3135"/>
          </w:tcPr>
          <w:p>
            <w:r/>
            <w:r>
              <w:rPr>
                <w:rFonts w:ascii="Calibri" w:hAnsi="Calibri"/>
                <w:sz w:val="20"/>
              </w:rPr>
              <w:t>✓ Pass</w:t>
            </w:r>
          </w:p>
        </w:tc>
      </w:tr>
      <w:tr>
        <w:tc>
          <w:tcPr>
            <w:tcW w:type="dxa" w:w="3135"/>
            <w:shd w:fill="F8F9FA" w:val="clear"/>
          </w:tcPr>
          <w:p>
            <w:r/>
            <w:r>
              <w:rPr>
                <w:rFonts w:ascii="Calibri" w:hAnsi="Calibri"/>
                <w:sz w:val="20"/>
              </w:rPr>
              <w:t>Toegangsrechten</w:t>
            </w:r>
          </w:p>
        </w:tc>
        <w:tc>
          <w:tcPr>
            <w:tcW w:type="dxa" w:w="3135"/>
            <w:shd w:fill="F8F9FA" w:val="clear"/>
          </w:tcPr>
          <w:p>
            <w:r/>
            <w:r>
              <w:rPr>
                <w:rFonts w:ascii="Calibri" w:hAnsi="Calibri"/>
                <w:sz w:val="20"/>
              </w:rPr>
              <w:t>Rollen en rechten volledig gedefinieerd</w:t>
            </w:r>
          </w:p>
        </w:tc>
        <w:tc>
          <w:tcPr>
            <w:tcW w:type="dxa" w:w="3135"/>
            <w:shd w:fill="F8F9FA" w:val="clear"/>
          </w:tcPr>
          <w:p>
            <w:r/>
            <w:r>
              <w:rPr>
                <w:rFonts w:ascii="Calibri" w:hAnsi="Calibri"/>
                <w:sz w:val="20"/>
              </w:rPr>
              <w:t>✓ Pass</w:t>
            </w:r>
          </w:p>
        </w:tc>
      </w:tr>
      <w:tr>
        <w:tc>
          <w:tcPr>
            <w:tcW w:type="dxa" w:w="3135"/>
          </w:tcPr>
          <w:p>
            <w:r/>
            <w:r>
              <w:rPr>
                <w:rFonts w:ascii="Calibri" w:hAnsi="Calibri"/>
                <w:sz w:val="20"/>
              </w:rPr>
              <w:t>Retentiebewaartermijnen</w:t>
            </w:r>
          </w:p>
        </w:tc>
        <w:tc>
          <w:tcPr>
            <w:tcW w:type="dxa" w:w="3135"/>
          </w:tcPr>
          <w:p>
            <w:r/>
            <w:r>
              <w:rPr>
                <w:rFonts w:ascii="Calibri" w:hAnsi="Calibri"/>
                <w:sz w:val="20"/>
              </w:rPr>
              <w:t>Alle typen voorzien van bewaartermijn</w:t>
            </w:r>
          </w:p>
        </w:tc>
        <w:tc>
          <w:tcPr>
            <w:tcW w:type="dxa" w:w="3135"/>
          </w:tcPr>
          <w:p>
            <w:r/>
            <w:r>
              <w:rPr>
                <w:rFonts w:ascii="Calibri" w:hAnsi="Calibri"/>
                <w:sz w:val="20"/>
              </w:rPr>
              <w:t>✓ Pass</w:t>
            </w:r>
          </w:p>
        </w:tc>
      </w:tr>
      <w:tr>
        <w:tc>
          <w:tcPr>
            <w:tcW w:type="dxa" w:w="3135"/>
            <w:shd w:fill="F8F9FA" w:val="clear"/>
          </w:tcPr>
          <w:p>
            <w:r/>
            <w:r>
              <w:rPr>
                <w:rFonts w:ascii="Calibri" w:hAnsi="Calibri"/>
                <w:sz w:val="20"/>
              </w:rPr>
              <w:t>Kwaliteitscontrole</w:t>
            </w:r>
          </w:p>
        </w:tc>
        <w:tc>
          <w:tcPr>
            <w:tcW w:type="dxa" w:w="3135"/>
            <w:shd w:fill="F8F9FA" w:val="clear"/>
          </w:tcPr>
          <w:p>
            <w:r/>
            <w:r>
              <w:rPr>
                <w:rFonts w:ascii="Calibri" w:hAnsi="Calibri"/>
                <w:sz w:val="20"/>
              </w:rPr>
              <w:t>Pre-publicatie checklist 9 punten opgenomen</w:t>
            </w:r>
          </w:p>
        </w:tc>
        <w:tc>
          <w:tcPr>
            <w:tcW w:type="dxa" w:w="3135"/>
            <w:shd w:fill="F8F9FA" w:val="clear"/>
          </w:tcPr>
          <w:p>
            <w:r/>
            <w:r>
              <w:rPr>
                <w:rFonts w:ascii="Calibri" w:hAnsi="Calibri"/>
                <w:sz w:val="20"/>
              </w:rPr>
              <w:t>✓ Pass</w:t>
            </w:r>
          </w:p>
        </w:tc>
      </w:tr>
      <w:tr>
        <w:tc>
          <w:tcPr>
            <w:tcW w:type="dxa" w:w="3135"/>
          </w:tcPr>
          <w:p>
            <w:r/>
            <w:r>
              <w:rPr>
                <w:rFonts w:ascii="Calibri" w:hAnsi="Calibri"/>
                <w:sz w:val="20"/>
              </w:rPr>
              <w:t>Output format</w:t>
            </w:r>
          </w:p>
        </w:tc>
        <w:tc>
          <w:tcPr>
            <w:tcW w:type="dxa" w:w="3135"/>
          </w:tcPr>
          <w:p>
            <w:r/>
            <w:r>
              <w:rPr>
                <w:rFonts w:ascii="Calibri" w:hAnsi="Calibri"/>
                <w:sz w:val="20"/>
              </w:rPr>
              <w:t>.docx — professioneel format, geen .md</w:t>
            </w:r>
          </w:p>
        </w:tc>
        <w:tc>
          <w:tcPr>
            <w:tcW w:type="dxa" w:w="3135"/>
          </w:tcPr>
          <w:p>
            <w:r/>
            <w:r>
              <w:rPr>
                <w:rFonts w:ascii="Calibri" w:hAnsi="Calibri"/>
                <w:sz w:val="20"/>
              </w:rPr>
              <w:t>✓ Pass</w:t>
            </w:r>
          </w:p>
        </w:tc>
      </w:tr>
    </w:tbl>
    <w:sectPr w:rsidR="00FC693F" w:rsidRPr="0006063C" w:rsidSect="00034616">
      <w:footerReference w:type="default" r:id="rId9"/>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