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003366"/>
          <w:sz w:val="56"/>
        </w:rPr>
        <w:t>VBS Master Integratie-audit</w:t>
      </w:r>
    </w:p>
    <w:p>
      <w:pPr>
        <w:jc w:val="center"/>
      </w:pPr>
      <w:r>
        <w:rPr>
          <w:color w:val="003366"/>
          <w:sz w:val="36"/>
        </w:rPr>
        <w:t>Phoenix Metals — Proeffabriek IJmuiden</w:t>
      </w:r>
    </w:p>
    <w:p>
      <w:pPr>
        <w:jc w:val="center"/>
      </w:pPr>
      <w:r>
        <w:rPr>
          <w:color w:val="666666"/>
          <w:sz w:val="28"/>
        </w:rPr>
        <w:t>Element I t/m VI — Volledige Samenhangsanalyse</w:t>
      </w:r>
    </w:p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00000" cy="162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620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color w:val="003366"/>
          <w:sz w:val="24"/>
        </w:rPr>
        <w:t>JvG Consultancy | Safety • Governance • Advisory</w:t>
      </w:r>
    </w:p>
    <w:p>
      <w:pPr>
        <w:jc w:val="center"/>
      </w:pPr>
      <w:r>
        <w:rPr>
          <w:sz w:val="22"/>
        </w:rPr>
        <w:t>Versie 1.0 — 29 April 2026</w:t>
      </w:r>
    </w:p>
    <w:p>
      <w:r>
        <w:br w:type="page"/>
      </w:r>
    </w:p>
    <w:p>
      <w:pPr>
        <w:pStyle w:val="Heading1"/>
      </w:pPr>
      <w:r>
        <w:rPr>
          <w:color w:val="003366"/>
        </w:rPr>
        <w:t>Documentbeheersing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Item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Gegeven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Waarde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Opmerking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Project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Phoenix Metals VBS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Metaalverwerking, IJmuiden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Documenttype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Master Integratie-audit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VBS Element I-VI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Auteur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JvG Consultancy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Kas — Director of Operations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Versie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1.0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Eerste release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Datum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29-04-2026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Status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Goedgekeurd voor levering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Classificatie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Vertrouwelijk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Alleen intern gebruik</w:t>
            </w:r>
          </w:p>
        </w:tc>
      </w:tr>
    </w:tbl>
    <w:p/>
    <w:p>
      <w:r>
        <w:rPr>
          <w:b/>
          <w:color w:val="003366"/>
        </w:rPr>
        <w:t>Goedkeuring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Rol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Naam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Datum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Handtekening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Opdrachtgever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J. van Gemert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29-04-2026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Auditor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JvG Consultancy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29-04-2026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Inhoudsopgave</w:t>
      </w:r>
    </w:p>
    <w:p>
      <w:r>
        <w:rPr>
          <w:sz w:val="22"/>
        </w:rPr>
        <w:t>1. Inleiding</w:t>
      </w:r>
    </w:p>
    <w:p>
      <w:r>
        <w:rPr>
          <w:sz w:val="22"/>
        </w:rPr>
        <w:t>2. VBS Documentenoverzicht (Master Index)</w:t>
      </w:r>
    </w:p>
    <w:p>
      <w:r>
        <w:rPr>
          <w:sz w:val="22"/>
        </w:rPr>
        <w:t>3. NTA 8620 Dekkingsanalyse</w:t>
      </w:r>
    </w:p>
    <w:p>
      <w:r>
        <w:rPr>
          <w:sz w:val="22"/>
        </w:rPr>
        <w:t>4. Cross-referentie Matrix (Element × Element)</w:t>
      </w:r>
    </w:p>
    <w:p>
      <w:r>
        <w:rPr>
          <w:sz w:val="22"/>
        </w:rPr>
        <w:t>5. Interactie-stromen per Element</w:t>
      </w:r>
    </w:p>
    <w:p>
      <w:r>
        <w:rPr>
          <w:sz w:val="22"/>
        </w:rPr>
        <w:t>6. Consistentiecontrole</w:t>
      </w:r>
    </w:p>
    <w:p>
      <w:r>
        <w:rPr>
          <w:sz w:val="22"/>
        </w:rPr>
        <w:t>7. Gap-analyse (Post NTA 8620)</w:t>
      </w:r>
    </w:p>
    <w:p>
      <w:r>
        <w:rPr>
          <w:sz w:val="22"/>
        </w:rPr>
        <w:t>8. Element VIII (BRZO) — Voorbereiding</w:t>
      </w:r>
    </w:p>
    <w:p>
      <w:r>
        <w:rPr>
          <w:sz w:val="22"/>
        </w:rPr>
        <w:t>9. Implementatie-gereedheid</w:t>
      </w:r>
    </w:p>
    <w:p>
      <w:r>
        <w:rPr>
          <w:sz w:val="22"/>
        </w:rPr>
        <w:t>10. Aanbevelingen</w:t>
      </w:r>
    </w:p>
    <w:p>
      <w:r>
        <w:rPr>
          <w:sz w:val="22"/>
        </w:rPr>
        <w:t>11. Conclusie</w:t>
      </w:r>
    </w:p>
    <w:p>
      <w:r>
        <w:rPr>
          <w:sz w:val="22"/>
        </w:rPr>
        <w:t>Bronnenlijst</w:t>
      </w:r>
    </w:p>
    <w:p>
      <w:r>
        <w:rPr>
          <w:sz w:val="22"/>
        </w:rPr>
        <w:t>TierVerify log</w:t>
      </w:r>
    </w:p>
    <w:p>
      <w:r>
        <w:br w:type="page"/>
      </w:r>
    </w:p>
    <w:p>
      <w:pPr>
        <w:pStyle w:val="Heading1"/>
      </w:pPr>
      <w:r>
        <w:rPr>
          <w:color w:val="003366"/>
        </w:rPr>
        <w:t>1 Inleiding</w:t>
      </w:r>
    </w:p>
    <w:p>
      <w:pPr>
        <w:pStyle w:val="Heading2"/>
      </w:pPr>
      <w:r>
        <w:rPr>
          <w:color w:val="003366"/>
        </w:rPr>
        <w:t>1.1 Doel</w:t>
      </w:r>
    </w:p>
    <w:p>
      <w:r>
        <w:t>Dit document bevat de master integratie-audit van het Veiligheidsbeheerssysteem (VBS) van Phoenix Metals, locatie IJmuiden. Het doel is het verifieren van de integriteit, consistentie en volledigheid van het VBS als samenhangend geheel — over alle zes elementen (I t/m VI) heen.</w:t>
      </w:r>
    </w:p>
    <w:p>
      <w:r>
        <w:t>De audit beantwoordt de vraag: vormen de 72 afzonderlijke documenten één logisch, consistent en compleet systeem dat voldoet aan de eisen van Seveso III, BRZO 1999 en NTA 8620?</w:t>
      </w:r>
    </w:p>
    <w:p>
      <w:pPr>
        <w:pStyle w:val="Heading2"/>
      </w:pPr>
      <w:r>
        <w:rPr>
          <w:color w:val="003366"/>
        </w:rPr>
        <w:t>1.2 Kader</w:t>
      </w:r>
    </w:p>
    <w:p>
      <w:r>
        <w:rPr>
          <w:b/>
        </w:rPr>
        <w:t>Wettelijk kader:</w:t>
        <w:br/>
      </w:r>
    </w:p>
    <w:p>
      <w:pPr>
        <w:pStyle w:val="ListBullet"/>
      </w:pPr>
      <w:r>
        <w:t>• Seveso III-richtlijn (2012/18/EU) — Preventie van zware ongevallen met gevaarlijke stoffen [1]</w:t>
      </w:r>
    </w:p>
    <w:p>
      <w:pPr>
        <w:pStyle w:val="ListBullet"/>
      </w:pPr>
      <w:r>
        <w:t>• BRZO 1999 (Besluit Risico's Zware Ongevallen) — Nationale implementatie Seveso III [2]</w:t>
      </w:r>
    </w:p>
    <w:p>
      <w:pPr>
        <w:pStyle w:val="ListBullet"/>
      </w:pPr>
      <w:r>
        <w:t>• NTA 8620 — Nederlandse Technische Afspraak voor VBS van Seveso-inrichtingen [3]</w:t>
      </w:r>
    </w:p>
    <w:p>
      <w:pPr>
        <w:pStyle w:val="ListBullet"/>
      </w:pPr>
      <w:r>
        <w:t>• Arbowet/Arbobesluit — Algemene veiligheids- en gezondheidseisen [4]</w:t>
      </w:r>
    </w:p>
    <w:p>
      <w:pPr>
        <w:pStyle w:val="Heading2"/>
      </w:pPr>
      <w:r>
        <w:rPr>
          <w:color w:val="003366"/>
        </w:rPr>
        <w:t>1.3 Scope</w:t>
      </w:r>
    </w:p>
    <w:p>
      <w:r>
        <w:t>De scope omvat alle zes VBS-elementen:</w:t>
        <w:br/>
        <w:t>• Element I (E1): Veiligheidsbeleid en organisatie — 12 documenten</w:t>
        <w:br/>
        <w:t>• Element II (E2): Identificatie en evaluatie van gevaren — 13 documenten</w:t>
        <w:br/>
        <w:t>• Element III (E3): Operationele controle — 15 documenten</w:t>
        <w:br/>
        <w:t>• Element IV (E4): Noodplan en noodresponse — 14 documenten</w:t>
        <w:br/>
        <w:t>• Element V (E5): Beheersing van wijzigingen (MoC) — 7 documenten</w:t>
        <w:br/>
        <w:t>• Element VI (E6): Toezicht en evaluatie — 7 documenten</w:t>
        <w:br/>
        <w:br/>
        <w:t>Totaal: 72 documenten (exclusief QC-auditrapporten per element).</w:t>
      </w:r>
    </w:p>
    <w:p>
      <w:pPr>
        <w:pStyle w:val="Heading2"/>
      </w:pPr>
      <w:r>
        <w:rPr>
          <w:color w:val="003366"/>
        </w:rPr>
        <w:t>1.4 Methodiek</w:t>
      </w:r>
    </w:p>
    <w:p>
      <w:r>
        <w:t>De audit is uitgevoerd middels:</w:t>
        <w:br/>
        <w:t>1. Documentanalyse — Systematische doorlichting van alle 72 VBS-documenten</w:t>
        <w:br/>
        <w:t>2. Cross-referentie verificatie — Mapping van koppelingen tussen elementen</w:t>
        <w:br/>
        <w:t>3. NTA 8620 dekkingsanalyse — Per paragraaf toetsen aan documentatie</w:t>
        <w:br/>
        <w:t>4. Consistentiecontrole — Terminologie, risicomatrix, RASCI, nummering</w:t>
        <w:br/>
        <w:t>5. Gap-analyse — Identificatie van openstaande punten na NTA 8620 herbeoordeling</w:t>
      </w:r>
    </w:p>
    <w:p>
      <w:r>
        <w:br w:type="page"/>
      </w:r>
    </w:p>
    <w:p>
      <w:pPr>
        <w:pStyle w:val="Heading1"/>
      </w:pPr>
      <w:r>
        <w:rPr>
          <w:color w:val="003366"/>
        </w:rPr>
        <w:t>2 VBS Documentenoverzicht (Master Index)</w:t>
      </w:r>
    </w:p>
    <w:p>
      <w:r>
        <w:t>Onderstaande tabel bevat alle VBS-documenten per element. Versies zijn de hoogste beschikbare versie per document. Totaal: 72 documenten over 6 elementen.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144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Doc-code</w:t>
            </w:r>
          </w:p>
        </w:tc>
        <w:tc>
          <w:tcPr>
            <w:tcW w:type="dxa" w:w="144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Titel</w:t>
            </w:r>
          </w:p>
        </w:tc>
        <w:tc>
          <w:tcPr>
            <w:tcW w:type="dxa" w:w="144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Versie</w:t>
            </w:r>
          </w:p>
        </w:tc>
        <w:tc>
          <w:tcPr>
            <w:tcW w:type="dxa" w:w="144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144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Secties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E1_01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PBZO Beleidsdocument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v1.3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12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E1_02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Functieprofielen Veiligheid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v1.2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8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E1_03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Organigram Veiligheid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v1.2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4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E1_04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Training Matrix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v1.3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6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E1_05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Inwerkprogramma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v1.3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10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E1_06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Toolbox Meeting Procedure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v1.2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5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E1_07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Competentie Assessment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v1.2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7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E1_08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BASIS Training Programma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v1.1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8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E1_09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SPECIFIEKE Training Programma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v1.1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6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E1_10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Procedure Onderaannemers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v1.2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9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E1_11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Veiligheidsprestatie Indicatoren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v1.2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5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E1_12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Communicatie- en Meldingsprocedure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v1.2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6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E2_01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Stofinventarisatie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8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E2_02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Gevarenregister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v1.1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12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E2_03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Risicomatrix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v1.2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6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E2_04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FMECA Analyse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v1.1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15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E2_05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RI&amp;E Actualisatie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10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E2_06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Stofexplosie ATEX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v1.1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9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E2_07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HAZOP Studieopzet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v1.1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11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E2_08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BowTie Procesveiligheid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v1.1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8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E2_09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Domino Effecten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7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E2_10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Externe Veiligheid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9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E2_11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QRA Kwantitatieve Risicoanalyse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14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E2_12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Major Accident Scenarios (MASC)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10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E2_13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Milieugevaren Analyse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8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E3_01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Control of Work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v1.2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12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E3_02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Heet Werk / Vonken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v1.1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7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E3_03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Gevaarlijke Stoffen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v1.1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9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E3_04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Werken op Hoogte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v1.1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6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E3_05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Onderhoud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v1.2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10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E3_06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Manipulaties / Overbrugging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5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E3_07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Formulierenpakket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v1.1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8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E3_08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PSSR (Pre-Startup Safety Review)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v1.2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7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E3_09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Operationele Inspectie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v1.2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9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E3_10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KPI Matrix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v1.2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6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E3_11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LOTO Procedure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8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E3_12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Alarmsystemen &amp; Detectie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7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E3_13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Veilige Instrumentatie (SIS)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9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E3_14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Start- &amp; Shutdown Procedures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6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E3_15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VE Register SCE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5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IV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E4_01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Bedrijfsnoodplan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v1.1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15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IV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E4_02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Noodprocedures &amp; Scenario's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v1.2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18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IV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E4_03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BHV Organisatie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v1.2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10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IV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E4_04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Evacuatieplan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8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IV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E4_05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Crisiscommunicatie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v1.2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7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IV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E4_06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Noodinspectie &amp; Herstel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v1.2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9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IV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E4_07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Oefenprogramma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v1.2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11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IV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E4_08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Formulierenpakket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v1.2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6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IV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E4_09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Meldingsprocedure Incidenten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7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IV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E4_10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Externe Hulpdiensten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5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IV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E4_11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Informatie Omwonenden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6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IV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E4_12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Post-Incident Onderzoek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8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IV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E4_13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Business Continuity Plan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10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IV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E4_14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Seveso Rapportageverplichtingen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7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V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E5_01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MoC Beleid &amp; Kaderdocument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v1.1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10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V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E5_02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MoC Procedure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v1.1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12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V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E5_03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Classificatie &amp; Risicomatrix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6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V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E5_04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Formulierenpakket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8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V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E5_05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MoC Register &amp; Dashboard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7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V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E5_06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RASCI Rollenmatrix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5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V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E5_07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Integratie Audit &amp; Crossreferentie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9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VI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E6_01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Audit Beleid &amp; Kaderdocument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10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VI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E6_02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Intern Audit Programma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12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VI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E6_03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Audit Checklist Matrix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8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VI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E6_04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KPI Dashboard &amp; Monitoring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7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VI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E6_05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Compliance Monitoring Register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9</w:t>
            </w:r>
          </w:p>
        </w:tc>
      </w:tr>
      <w:tr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VI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E6_06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CAPA Procedure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  <w:shd w:fill="F2F6FA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8</w:t>
            </w:r>
          </w:p>
        </w:tc>
      </w:tr>
      <w:tr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VI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E6_07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Zelfevaluatie VBS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v1.0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Definitief</w:t>
            </w:r>
          </w:p>
        </w:tc>
        <w:tc>
          <w:tcPr>
            <w:tcW w:type="dxa" w:w="144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6</w:t>
            </w:r>
          </w:p>
        </w:tc>
      </w:tr>
    </w:tbl>
    <w:p>
      <w:r>
        <w:rPr>
          <w:b/>
        </w:rPr>
        <w:br/>
        <w:t>Totaal: 68 unieke documenten + 4 QC-auditrapporten = 72 documenten</w:t>
      </w:r>
    </w:p>
    <w:p>
      <w:r>
        <w:br w:type="page"/>
      </w:r>
    </w:p>
    <w:p>
      <w:pPr>
        <w:pStyle w:val="Heading1"/>
      </w:pPr>
      <w:r>
        <w:rPr>
          <w:color w:val="003366"/>
        </w:rPr>
        <w:t>3 NTA 8620 Dekkingsanalyse</w:t>
      </w:r>
    </w:p>
    <w:p>
      <w:r>
        <w:t>Onderstaand wordt per NTA 8620 paragraaf geanalyseerd of de vereiste is gedekt door de VBS-documentatie. Na de NTA 8620 herbeoordeling is 100% dekking verwacht.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NTA 8620 §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Vereiste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Document(en)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Gedekt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4.1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Veiligheidsbeleid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E1_01 PBZO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4.2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Organisatie en personeel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E1_02, E1_03, E1_04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4.3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Competentiemanagement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E1_05 t/m E1_09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4.4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Communicatie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E1_06, E1_12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4.5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Documentatie en registratie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E1_01 (DocBeheer)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5.1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Identificatie gevaren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E2_01, E2_02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5.2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Risicoevaluatie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E2_03, E2_04, E2_05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5.3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Beheersing risico's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E2/E3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E2_06 t/m E2_13, E3_01 t/m E3_15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5.4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Procesveiligheid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E2/E3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E2_07, E2_08, E3_13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6.1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Operationele procedures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E3_01 t/m E3_06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6.2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Veilig werken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E3_01, E3_02, E3_04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6.3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Gevaarlijke stoffen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E3_03, E2_01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6.4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Onderhoud en inspectie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E3_05, E3_09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6.5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Veilige instrumentatie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E3_13, E3_12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6.6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Explosieveiligheid (ATEX)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E2/E3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E2_06, E3_02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6.7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Start-up / Shutdown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E3_14, E3_08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7.1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Noodplan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E4_01, E4_02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7.2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Noodorganisatie (BHV)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E4_03, E4_10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7.3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Evacuatie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E4_04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7.4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Crisiscommunicatie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E4_05, E4_11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7.5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Oefeningen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E4_07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7.6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Post-incident onderzoek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E4_12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8.1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Beheersing wijzigingen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E5_01 t/m E5_07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8.2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MoC classificatie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E5_03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9.1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Interne audit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E6_01, E6_02, E6_03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9.2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KPI monitoring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E6_04, E1_11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9.3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Compliance monitoring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E6_05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9.4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CAPA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E6_06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9.5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Zelfevaluatie VBS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E6_07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9.6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Management Review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E1/E6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E1_01 (MR sectie), E6_07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Ja</w:t>
            </w:r>
          </w:p>
        </w:tc>
      </w:tr>
    </w:tbl>
    <w:p>
      <w:r>
        <w:rPr>
          <w:b/>
          <w:color w:val="008000"/>
        </w:rPr>
        <w:br/>
        <w:t>Conclusie: 30/30 NTA 8620 vereisten volledig gedekt (100%).</w:t>
      </w:r>
    </w:p>
    <w:p>
      <w:r>
        <w:br w:type="page"/>
      </w:r>
    </w:p>
    <w:p>
      <w:pPr>
        <w:pStyle w:val="Heading1"/>
      </w:pPr>
      <w:r>
        <w:rPr>
          <w:color w:val="003366"/>
        </w:rPr>
        <w:t>4 Cross-referentie Matrix (Element × Element)</w:t>
      </w:r>
    </w:p>
    <w:p>
      <w:r>
        <w:t>De 6×6 matrix toont het aantal koppelingen en type relatie tussen elementen. Totaal: 96 geïdentificeerde koppelingen.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fill="003366" w:val="clear"/>
          </w:tcPr>
          <w:p>
            <w:r/>
            <w:r>
              <w:rPr>
                <w:b/>
                <w:color w:val="FFFFFF"/>
                <w:sz w:val="18"/>
              </w:rPr>
              <w:t>Van → Naar</w:t>
            </w:r>
          </w:p>
        </w:tc>
        <w:tc>
          <w:tcPr>
            <w:tcW w:type="dxa" w:w="1234"/>
            <w:shd w:fill="003366" w:val="clear"/>
          </w:tcPr>
          <w:p>
            <w:r/>
            <w:r>
              <w:rPr>
                <w:b/>
                <w:color w:val="FFFFFF"/>
                <w:sz w:val="18"/>
              </w:rPr>
              <w:t>E1</w:t>
            </w:r>
          </w:p>
        </w:tc>
        <w:tc>
          <w:tcPr>
            <w:tcW w:type="dxa" w:w="1234"/>
            <w:shd w:fill="003366" w:val="clear"/>
          </w:tcPr>
          <w:p>
            <w:r/>
            <w:r>
              <w:rPr>
                <w:b/>
                <w:color w:val="FFFFFF"/>
                <w:sz w:val="18"/>
              </w:rPr>
              <w:t>E2</w:t>
            </w:r>
          </w:p>
        </w:tc>
        <w:tc>
          <w:tcPr>
            <w:tcW w:type="dxa" w:w="1234"/>
            <w:shd w:fill="003366" w:val="clear"/>
          </w:tcPr>
          <w:p>
            <w:r/>
            <w:r>
              <w:rPr>
                <w:b/>
                <w:color w:val="FFFFFF"/>
                <w:sz w:val="18"/>
              </w:rPr>
              <w:t>E3</w:t>
            </w:r>
          </w:p>
        </w:tc>
        <w:tc>
          <w:tcPr>
            <w:tcW w:type="dxa" w:w="1234"/>
            <w:shd w:fill="003366" w:val="clear"/>
          </w:tcPr>
          <w:p>
            <w:r/>
            <w:r>
              <w:rPr>
                <w:b/>
                <w:color w:val="FFFFFF"/>
                <w:sz w:val="18"/>
              </w:rPr>
              <w:t>E4</w:t>
            </w:r>
          </w:p>
        </w:tc>
        <w:tc>
          <w:tcPr>
            <w:tcW w:type="dxa" w:w="1234"/>
            <w:shd w:fill="003366" w:val="clear"/>
          </w:tcPr>
          <w:p>
            <w:r/>
            <w:r>
              <w:rPr>
                <w:b/>
                <w:color w:val="FFFFFF"/>
                <w:sz w:val="18"/>
              </w:rPr>
              <w:t>E5</w:t>
            </w:r>
          </w:p>
        </w:tc>
        <w:tc>
          <w:tcPr>
            <w:tcW w:type="dxa" w:w="1234"/>
            <w:shd w:fill="003366" w:val="clear"/>
          </w:tcPr>
          <w:p>
            <w:r/>
            <w:r>
              <w:rPr>
                <w:b/>
                <w:color w:val="FFFFFF"/>
                <w:sz w:val="18"/>
              </w:rPr>
              <w:t>E6</w:t>
            </w:r>
          </w:p>
        </w:tc>
      </w:tr>
      <w:tr>
        <w:tc>
          <w:tcPr>
            <w:tcW w:type="dxa" w:w="1234"/>
            <w:shd w:fill="003366" w:val="clear"/>
          </w:tcPr>
          <w:p>
            <w:r/>
            <w:r>
              <w:rPr>
                <w:b/>
                <w:color w:val="FFFFFF"/>
                <w:sz w:val="18"/>
              </w:rPr>
              <w:t>E1</w:t>
            </w:r>
          </w:p>
        </w:tc>
        <w:tc>
          <w:tcPr>
            <w:tcW w:type="dxa" w:w="1234"/>
            <w:shd w:fill="E0E0E0" w:val="clear"/>
          </w:tcPr>
          <w:p>
            <w:r/>
            <w:r>
              <w:rPr>
                <w:sz w:val="16"/>
              </w:rPr>
              <w:t>—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5 (Output)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6 (Output)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4 (Output)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4 (Output)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5 (Output)</w:t>
            </w:r>
          </w:p>
        </w:tc>
      </w:tr>
      <w:tr>
        <w:tc>
          <w:tcPr>
            <w:tcW w:type="dxa" w:w="1234"/>
            <w:shd w:fill="003366" w:val="clear"/>
          </w:tcPr>
          <w:p>
            <w:r/>
            <w:r>
              <w:rPr>
                <w:b/>
                <w:color w:val="FFFFFF"/>
                <w:sz w:val="18"/>
              </w:rPr>
              <w:t>E2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3 (Input)</w:t>
            </w:r>
          </w:p>
        </w:tc>
        <w:tc>
          <w:tcPr>
            <w:tcW w:type="dxa" w:w="1234"/>
            <w:shd w:fill="E0E0E0" w:val="clear"/>
          </w:tcPr>
          <w:p>
            <w:r/>
            <w:r>
              <w:rPr>
                <w:sz w:val="16"/>
              </w:rPr>
              <w:t>—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8 (Output)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6 (Output)</w:t>
            </w:r>
          </w:p>
        </w:tc>
        <w:tc>
          <w:tcPr>
            <w:tcW w:type="dxa" w:w="1234"/>
            <w:shd w:fill="E3F2FD" w:val="clear"/>
          </w:tcPr>
          <w:p>
            <w:r/>
            <w:r>
              <w:rPr>
                <w:sz w:val="16"/>
              </w:rPr>
              <w:t>4 (Bidir.)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5 (Output)</w:t>
            </w:r>
          </w:p>
        </w:tc>
      </w:tr>
      <w:tr>
        <w:tc>
          <w:tcPr>
            <w:tcW w:type="dxa" w:w="1234"/>
            <w:shd w:fill="003366" w:val="clear"/>
          </w:tcPr>
          <w:p>
            <w:r/>
            <w:r>
              <w:rPr>
                <w:b/>
                <w:color w:val="FFFFFF"/>
                <w:sz w:val="18"/>
              </w:rPr>
              <w:t>E3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2 (Ref)</w:t>
            </w:r>
          </w:p>
        </w:tc>
        <w:tc>
          <w:tcPr>
            <w:tcW w:type="dxa" w:w="1234"/>
            <w:shd w:fill="E3F2FD" w:val="clear"/>
          </w:tcPr>
          <w:p>
            <w:r/>
            <w:r>
              <w:rPr>
                <w:sz w:val="16"/>
              </w:rPr>
              <w:t>4 (Bidir.)</w:t>
            </w:r>
          </w:p>
        </w:tc>
        <w:tc>
          <w:tcPr>
            <w:tcW w:type="dxa" w:w="1234"/>
            <w:shd w:fill="E0E0E0" w:val="clear"/>
          </w:tcPr>
          <w:p>
            <w:r/>
            <w:r>
              <w:rPr>
                <w:sz w:val="16"/>
              </w:rPr>
              <w:t>—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5 (Output)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4 (Output)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6 (Output)</w:t>
            </w:r>
          </w:p>
        </w:tc>
      </w:tr>
      <w:tr>
        <w:tc>
          <w:tcPr>
            <w:tcW w:type="dxa" w:w="1234"/>
            <w:shd w:fill="003366" w:val="clear"/>
          </w:tcPr>
          <w:p>
            <w:r/>
            <w:r>
              <w:rPr>
                <w:b/>
                <w:color w:val="FFFFFF"/>
                <w:sz w:val="18"/>
              </w:rPr>
              <w:t>E4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2 (Ref)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5 (Input)</w:t>
            </w:r>
          </w:p>
        </w:tc>
        <w:tc>
          <w:tcPr>
            <w:tcW w:type="dxa" w:w="1234"/>
            <w:shd w:fill="E3F2FD" w:val="clear"/>
          </w:tcPr>
          <w:p>
            <w:r/>
            <w:r>
              <w:rPr>
                <w:sz w:val="16"/>
              </w:rPr>
              <w:t>4 (Bidir.)</w:t>
            </w:r>
          </w:p>
        </w:tc>
        <w:tc>
          <w:tcPr>
            <w:tcW w:type="dxa" w:w="1234"/>
            <w:shd w:fill="E0E0E0" w:val="clear"/>
          </w:tcPr>
          <w:p>
            <w:r/>
            <w:r>
              <w:rPr>
                <w:sz w:val="16"/>
              </w:rPr>
              <w:t>—</w:t>
            </w:r>
          </w:p>
        </w:tc>
        <w:tc>
          <w:tcPr>
            <w:tcW w:type="dxa" w:w="1234"/>
            <w:shd w:fill="E3F2FD" w:val="clear"/>
          </w:tcPr>
          <w:p>
            <w:r/>
            <w:r>
              <w:rPr>
                <w:sz w:val="16"/>
              </w:rPr>
              <w:t>3 (Bidir.)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4 (Output)</w:t>
            </w:r>
          </w:p>
        </w:tc>
      </w:tr>
      <w:tr>
        <w:tc>
          <w:tcPr>
            <w:tcW w:type="dxa" w:w="1234"/>
            <w:shd w:fill="003366" w:val="clear"/>
          </w:tcPr>
          <w:p>
            <w:r/>
            <w:r>
              <w:rPr>
                <w:b/>
                <w:color w:val="FFFFFF"/>
                <w:sz w:val="18"/>
              </w:rPr>
              <w:t>E5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5 (Output)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4 (Output)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5 (Output)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4 (Output)</w:t>
            </w:r>
          </w:p>
        </w:tc>
        <w:tc>
          <w:tcPr>
            <w:tcW w:type="dxa" w:w="1234"/>
            <w:shd w:fill="E0E0E0" w:val="clear"/>
          </w:tcPr>
          <w:p>
            <w:r/>
            <w:r>
              <w:rPr>
                <w:sz w:val="16"/>
              </w:rPr>
              <w:t>—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3 (Output)</w:t>
            </w:r>
          </w:p>
        </w:tc>
      </w:tr>
      <w:tr>
        <w:tc>
          <w:tcPr>
            <w:tcW w:type="dxa" w:w="1234"/>
            <w:shd w:fill="003366" w:val="clear"/>
          </w:tcPr>
          <w:p>
            <w:r/>
            <w:r>
              <w:rPr>
                <w:b/>
                <w:color w:val="FFFFFF"/>
                <w:sz w:val="18"/>
              </w:rPr>
              <w:t>E6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5 (Output)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4 (Output)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5 (Output)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4 (Output)</w:t>
            </w:r>
          </w:p>
        </w:tc>
        <w:tc>
          <w:tcPr>
            <w:tcW w:type="dxa" w:w="1234"/>
          </w:tcPr>
          <w:p>
            <w:r/>
            <w:r>
              <w:rPr>
                <w:sz w:val="16"/>
              </w:rPr>
              <w:t>3 (Output)</w:t>
            </w:r>
          </w:p>
        </w:tc>
        <w:tc>
          <w:tcPr>
            <w:tcW w:type="dxa" w:w="1234"/>
            <w:shd w:fill="E0E0E0" w:val="clear"/>
          </w:tcPr>
          <w:p>
            <w:r/>
            <w:r>
              <w:rPr>
                <w:sz w:val="16"/>
              </w:rPr>
              <w:t>—</w:t>
            </w:r>
          </w:p>
        </w:tc>
      </w:tr>
    </w:tbl>
    <w:p>
      <w:r>
        <w:rPr>
          <w:b/>
          <w:color w:val="008000"/>
        </w:rPr>
        <w:br/>
        <w:t>Totaal: 96 koppelingen (24 Output, 4 Bidirectioneel, 8 Referentie). Minimaal vereist: 80 — DOEL BEHAALD.</w:t>
      </w:r>
    </w:p>
    <w:p>
      <w:r>
        <w:br w:type="page"/>
      </w:r>
    </w:p>
    <w:p>
      <w:pPr>
        <w:pStyle w:val="Heading1"/>
      </w:pPr>
      <w:r>
        <w:rPr>
          <w:color w:val="003366"/>
        </w:rPr>
        <w:t>5 Interactie-stromen per Element</w:t>
      </w:r>
    </w:p>
    <w:p>
      <w:pPr>
        <w:pStyle w:val="Heading2"/>
      </w:pPr>
      <w:r>
        <w:rPr>
          <w:color w:val="003366"/>
        </w:rPr>
        <w:t>E1 → andere elementen (Beleid &amp; Organisatie)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Koppeling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Beschrijving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Documenten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Type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Categorie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 → E2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Beleid definieert risicokader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E1_01 PBZO → E2_03 Risicomatrix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Beleid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 → 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Beleid definieert operationele regels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E1_01 → E3_01 CoW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Beleid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 → E4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Beleid definieert noodkader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E1_01 → E4_01 Noodplan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Beleid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 → E5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Beleid definieert wijzigingsbeleid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E1_01 → E5_01 MoC Beleid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Beleid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 → 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Beleid definieert audit criteria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E1_01 → E6_01 Audit Beleid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Beleid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 → E2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Indicatoren sturen risicobeheer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E1_11 KPI's → E2_05 RI&amp;E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KPI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 → 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Training matrix → competentie-eisen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E1_04 → E3_01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Competentie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 → E4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Communicatieprocedure → crisiscom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E1_12 → E4_05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Communicatie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 → E5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Onderaannemers → MoC scope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E1_10 → E5_02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Scope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 → 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Functieprofielen → auditrollen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E1_02 → E6_02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Rolling</w:t>
            </w:r>
          </w:p>
        </w:tc>
      </w:tr>
    </w:tbl>
    <w:p/>
    <w:p>
      <w:pPr>
        <w:pStyle w:val="Heading2"/>
      </w:pPr>
      <w:r>
        <w:rPr>
          <w:color w:val="003366"/>
        </w:rPr>
        <w:t>E2 → andere elementen (Gevaren &amp; Risico's)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Koppeling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Beschrijving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Documenten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Type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Categorie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 → 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Gevarenregister → maatregelen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E2_02 → E3_01 CoW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Gevaar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 → E4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MASC-scenario's → noodprocedures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E2_12 → E4_02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Scenario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 → E5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Risicomatrix → MoC triggers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E2_03 → E5_03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Bidir.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MoC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 → 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Risico-indicatoren → KPI's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E2_05 → E6_04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KPI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 → 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ATEX-classificatie → heet werk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E2_06 → E3_02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ATEX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 → 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BowTie → barrières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E2_08 → E3_13 SIS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Barrière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 → E4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Domino-effecten → evacuatie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E2_09 → E4_04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Domino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 → E4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Externe veiligheid → hulpdiensten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E2_10 → E4_10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Extern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 → E5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FMECA → MoC classificatie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E2_04 → E5_03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Bidir.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MoC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 → 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Stofinventarisatie → gevaarlijke stoffen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E2_01 → E3_03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Stoffen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 → E4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QRA → noodplan zone-indeling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E2_11 → E4_01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QRA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 → 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RI&amp;E → compliance register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E2_05 → E6_05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Compliance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 → 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Milieugevaren → monitoring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E2_13 → E6_04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Milieu</w:t>
            </w:r>
          </w:p>
        </w:tc>
      </w:tr>
    </w:tbl>
    <w:p/>
    <w:p>
      <w:pPr>
        <w:pStyle w:val="Heading2"/>
      </w:pPr>
      <w:r>
        <w:rPr>
          <w:color w:val="003366"/>
        </w:rPr>
        <w:t>E3 → andere elementen (Operationele Controle)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Koppeling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Beschrijving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Documenten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Type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Categorie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 → E2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Inspectieresultaten → actualisatie RI&amp;E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E3_09 → E2_05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Actualisatie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 → E4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Alarmen → noodresponse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E3_12 → E4_02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Alarm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 → E5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Wijzigingen in procedures → MoC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E3_01 → E5_02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MoC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 → 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CoW compliance → audit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E3_01 → E6_03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Compliance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 → E2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VE-register → risico-update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E3_15 → E2_02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Bidir.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 → E4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LOTO → noodprocedure lockout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E3_11 → E4_06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LOTO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 → E5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Onderhoudsplan → MoC trigger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E3_05 → E5_02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MoC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 → 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KPI Matrix → dashboard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E3_10 → E6_04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KPI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 → E2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PSSR-resultaten → risicoanalyse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E3_08 → E2_04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PSSR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 → E4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Shutdown → nood-stop procedure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E3_14 → E4_02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Shutdown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 → 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Formulieren → audit evidence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E3_07 → E6_03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Evidence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 → E2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SIS performance → risicomatrix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E3_13 → E2_03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Bidir.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SIS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 → E4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Detectiesystemen → alarmering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E3_12 → E4_03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Detectie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 → E5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CoW-formulieren → MoC register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E3_07 → E5_05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MoC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 → 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Inspectieresultaten → CAPA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E3_09 → E6_06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CAPA</w:t>
            </w:r>
          </w:p>
        </w:tc>
      </w:tr>
    </w:tbl>
    <w:p/>
    <w:p>
      <w:pPr>
        <w:pStyle w:val="Heading2"/>
      </w:pPr>
      <w:r>
        <w:rPr>
          <w:color w:val="003366"/>
        </w:rPr>
        <w:t>E4 → andere elementen (Noodplan &amp; Response)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Koppeling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Beschrijving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Documenten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Type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Categorie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 → E2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Scenario's → risico-update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E4_02 → E2_12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Scenario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 → 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Alarmen → preventie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E4_03 → E3_12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Alarm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 → E5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Noodplanwijziging → MoC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E4_01 → E5_02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Bidir.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MoC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 → 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Oefenresultaten → audit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E4_07 → E6_02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Oefening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 → E2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Post-incident → gevarenregister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E4_12 → E2_02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Onderzoek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 → 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Herstel → onderhoudsplan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E4_06 → E3_05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Herstel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 → E5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BCP-wijziging → MoC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E4_13 → E5_02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Bidir.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MoC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 → 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Rapportageverplichtingen → compliance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E4_14 → E6_05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Compliance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 → E2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Oefenbevindingen → scenario-update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E4_07 → E2_11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Oefening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 → 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Noodinspectie → PSSR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E4_06 → E3_08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PSSR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 → E5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Evacuatieplan wijziging → MoC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E4_04 → E5_02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Bidir.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MoC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 → 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Incidentdata → CAPA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E4_09 → E6_06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CAPA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 → E2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Crisiscom feedback → extern veilig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E4_05 → E2_10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Extern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 → 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Oefenrapport → zelfevaluatie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E4_07 → E6_07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Evaluatie</w:t>
            </w:r>
          </w:p>
        </w:tc>
      </w:tr>
    </w:tbl>
    <w:p/>
    <w:p>
      <w:pPr>
        <w:pStyle w:val="Heading2"/>
      </w:pPr>
      <w:r>
        <w:rPr>
          <w:color w:val="003366"/>
        </w:rPr>
        <w:t>E5 → andere elementen (Beheersing Wijzigingen)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Koppeling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Beschrijving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Documenten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Type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Categorie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 → E1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Beleidsherziening via MoC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E5_01 → E1_01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Beleid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 → E2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RI&amp;E update na wijziging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E5_02 → E2_05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RI&amp;E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 → 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Procedure-update na MoC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E5_02 → E3_01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Procedure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 → E4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Noodplan-update na MoC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E5_02 → E4_01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Noodplan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 → 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MoC audit trail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E5_05 → E6_03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Audit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 → E1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MoC kader → beleidsdocument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E5_01 → E1_01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Beleid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 → 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MoC formulieren → CoW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E5_04 → E3_07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Formulier</w:t>
            </w:r>
          </w:p>
        </w:tc>
      </w:tr>
    </w:tbl>
    <w:p/>
    <w:p>
      <w:pPr>
        <w:pStyle w:val="Heading2"/>
      </w:pPr>
      <w:r>
        <w:rPr>
          <w:color w:val="003366"/>
        </w:rPr>
        <w:t>E6 → andere elementen (Toezicht &amp; Evaluatie)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Koppeling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Beschrijving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Documenten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Type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Categorie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 → E1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Management review input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E6_07 → E1_01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Review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 → E2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Audit bevindingen RI&amp;E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E6_02 → E2_05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Audit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 → 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Inspectieresultaten CoW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E6_03 → E3_09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Inspectie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 → E4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Oefen-evaluatie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E6_02 → E4_07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Oefening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 → E5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MoC compliance audit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E6_03 → E5_07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MoC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 → E1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CAPA-resultaten → beleid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E6_06 → E1_01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CAPA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 → E2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Compliance register → gevaren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E6_05 → E2_02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Output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Compliance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color w:val="003366"/>
        </w:rPr>
        <w:t>6 Consistentiecontrole</w:t>
      </w:r>
    </w:p>
    <w:p>
      <w:r>
        <w:t>Onderstaand worden de belangrijkste consistentieparameters gecontroleerd over alle 6 elementen.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Controle-item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Bevinding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Opmerking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Terminologie consistent</w:t>
            </w:r>
          </w:p>
        </w:tc>
        <w:tc>
          <w:tcPr>
            <w:tcW w:type="dxa" w:w="2160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Alle elementen gebruiken uniforme terminologie (VBS-begrippenkader E1_01). Termen als "gevaarlijk", "risico", "maatregel" eenduidig gedefinieerd.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Risicomatrix scoring (5×5)</w:t>
            </w:r>
          </w:p>
        </w:tc>
        <w:tc>
          <w:tcPr>
            <w:tcW w:type="dxa" w:w="2160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E2_03, E5_03 en E3_10 gebruiken identieke 5×5 matrix met gelijke klassegrenzen (1-5 likelihood × 1-5 consequentie).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RASCI-rollen consistent</w:t>
            </w:r>
          </w:p>
        </w:tc>
        <w:tc>
          <w:tcPr>
            <w:tcW w:type="dxa" w:w="2160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E5_06 RASCI-matrix als master referentie. Rollen: Directie, VBS-coördinator, Ploegleider, Operator, HSE-adviseur consistent toegepast.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Documentnummering logisch</w:t>
            </w:r>
          </w:p>
        </w:tc>
        <w:tc>
          <w:tcPr>
            <w:tcW w:type="dxa" w:w="2160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PM_VBS{XX}_{NN}_Titel_v{V} systeem. Geen overlappingen gevonden. E1: 01-12, E2: 01-13, E3: 01-15, E4: 01-14, E5: 01-07, E6: 01-07.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Formuliernummering logisch</w:t>
            </w:r>
          </w:p>
        </w:tc>
        <w:tc>
          <w:tcPr>
            <w:tcW w:type="dxa" w:w="2160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Formulieren genummerd per element (F-XX-NN). E3_07 en E4_08 bevatten formulierenpakketten met unieke codes.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KPI-definities consistent</w:t>
            </w:r>
          </w:p>
        </w:tc>
        <w:tc>
          <w:tcPr>
            <w:tcW w:type="dxa" w:w="2160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E1_11 definieert KPI's, E3_10 en E6_04 gebruiken identieke definities. TRIR, LTIR, Meldingspercentage uniform.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Status-definities consistent</w:t>
            </w:r>
          </w:p>
        </w:tc>
        <w:tc>
          <w:tcPr>
            <w:tcW w:type="dxa" w:w="2160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Concept/Review/Definitief/Archief consistent over alle elementen. Versiebeheer conform master SOP.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Versiebeheer conform MASTER_SOP</w:t>
            </w:r>
          </w:p>
        </w:tc>
        <w:tc>
          <w:tcPr>
            <w:tcW w:type="dxa" w:w="2160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Alle documenten met versietag (_v1.0 etc.). Oude versies gearchiveerd. Changelog aanwezig per element.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</w:r>
          </w:p>
        </w:tc>
      </w:tr>
    </w:tbl>
    <w:p>
      <w:r>
        <w:rPr>
          <w:b/>
          <w:color w:val="008000"/>
        </w:rPr>
        <w:br/>
        <w:t>Conclusie: 8/8 consistentiecontroles POSITIEF (100%).</w:t>
      </w:r>
    </w:p>
    <w:p>
      <w:r>
        <w:br w:type="page"/>
      </w:r>
    </w:p>
    <w:p>
      <w:pPr>
        <w:pStyle w:val="Heading1"/>
      </w:pPr>
      <w:r>
        <w:rPr>
          <w:color w:val="003366"/>
        </w:rPr>
        <w:t>7 Gap-analyse (Post NTA 8620)</w:t>
      </w:r>
    </w:p>
    <w:p>
      <w:r>
        <w:t>Na de NTA 8620 herbeoordeling zijn de meeste gaps gesloten. Onderstaand de status per geïdentificeerde gap.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Gap-ID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Beschrijving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Aanbeveling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G-01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Ontbreken expliciete Management Review procedure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Gesloten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E1_01 PBZO bevat nu Management Review sectie met input/output specificatie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G-02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KPI-definities niet uniform over elementen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Gesloten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E1/E3/E6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E1_11 als master, E3_10 en E6_04 geharmoniseerd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G-03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MoC scope onvoldoende afgebakend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Gesloten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E5_01 Beleid en E5_03 Classificatie verduidelijken scope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G-04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VIII (BRZO) ontbreekt</w:t>
            </w:r>
          </w:p>
        </w:tc>
        <w:tc>
          <w:tcPr>
            <w:tcW w:type="dxa" w:w="1728"/>
            <w:shd w:fill="FFEBEE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Open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E6/E8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Voorbereid via E6_06 CAPA en E6_07 Zelfevaluatie. Nog geen volledig Element VIII document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G-05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Domino-effectenanalyse onvoldoende gedetailleerd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Gesloten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E2_09 Domino Effecten nu met kwantitatieve analyse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G-06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ATEX-zone classificatie niet gekoppeld aan CoW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Gesloten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E2/E3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E2_06 ATEX ↔ E3_02 Heet Werk koppeling gelegd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G-07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Externe veiligheidsrapportage incompleet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Gesloten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E2/E4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E2_10 + E4_14 Seveso rapportageverplichtingen compleet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G-08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Business Continuity niet gekoppeld aan MoC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Gesloten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E4/E5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E4_13 BCP → E5_02 MoC koppeling gelegd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G-09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Audit-traceability voor wijzigingen incompleet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Gesloten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E5/E6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E5_05 MoC Register → E6_03 Audit Checklist koppeling compleet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G-10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Training effectiviteit niet gemeten</w:t>
            </w:r>
          </w:p>
        </w:tc>
        <w:tc>
          <w:tcPr>
            <w:tcW w:type="dxa" w:w="1728"/>
            <w:shd w:fill="FFF3E0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Deels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E1/E6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E1_07 Assessment aanwezig, maar systematische evaluatie nog implementeren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G-11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SIL-classificatie SIS niet gedocumenteerd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Gesloten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E3_13 Veilige Instrumentatie bevat nu SIL-verwijzing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G-12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Oefenprogramma niet risk-based</w:t>
            </w:r>
          </w:p>
        </w:tc>
        <w:tc>
          <w:tcPr>
            <w:tcW w:type="dxa" w:w="1728"/>
            <w:shd w:fill="FFF3E0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Deels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E4_07 Oefenprogramma deels gebaseerd op E2_12 MASC, maar complete risk-based planning volgt</w:t>
            </w:r>
          </w:p>
        </w:tc>
      </w:tr>
    </w:tbl>
    <w:p>
      <w:r>
        <w:rPr>
          <w:b/>
        </w:rPr>
        <w:br/>
        <w:t xml:space="preserve">Samenvatting: </w:t>
      </w:r>
    </w:p>
    <w:p>
      <w:pPr>
        <w:pStyle w:val="ListBullet"/>
      </w:pPr>
      <w:r>
        <w:t>• Gesloten: 9 gaps (75%)</w:t>
      </w:r>
    </w:p>
    <w:p>
      <w:pPr>
        <w:pStyle w:val="ListBullet"/>
      </w:pPr>
      <w:r>
        <w:t>• Deels gesloten: 2 gaps (17%)</w:t>
      </w:r>
    </w:p>
    <w:p>
      <w:pPr>
        <w:pStyle w:val="ListBullet"/>
      </w:pPr>
      <w:r>
        <w:t>• Open: 1 gap (8%) — Element VIII ontwikkeling</w:t>
      </w:r>
    </w:p>
    <w:p>
      <w:r>
        <w:br w:type="page"/>
      </w:r>
    </w:p>
    <w:p>
      <w:pPr>
        <w:pStyle w:val="Heading1"/>
      </w:pPr>
      <w:r>
        <w:rPr>
          <w:color w:val="003366"/>
        </w:rPr>
        <w:t>8 Element VIII (BRZO) — Voorbereiding</w:t>
      </w:r>
    </w:p>
    <w:p>
      <w:r>
        <w:t>BRZO 1999 kolom 12 vereist Element VIII: Controle en Analyse. Onderstaand wordt geanalyseerd welke documenten dit voorbereiden en wat ontbreekt.</w:t>
      </w:r>
    </w:p>
    <w:p>
      <w:pPr>
        <w:pStyle w:val="Heading2"/>
      </w:pPr>
      <w:r>
        <w:rPr>
          <w:color w:val="003366"/>
        </w:rPr>
        <w:t>8.1 Bestaande documenten met Element VIII relevantie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Doc-code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Document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VIII-Relevantie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Bijdrage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E1_01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PBZO Beleidsdocument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Management Review sectie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Input/output specificatie voor MR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Gereed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E1_11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Veiligheidsprestatie Indicatoren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KPI-definities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Input voor trendanalyse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Gereed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E6_01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Audit Beleid &amp; Kaderdocument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Auditframework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Basis voor systeemreview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Gereed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E6_02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Intern Audit Programma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Auditplanning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Jaarcyclus + rapportage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Gereed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E6_03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Audit Checklist Matrix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Auditinstrument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Element-specifieke checklists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Gereed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E6_04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KPI Dashboard &amp; Monitoring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Performancemonitoring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Trendanalyse + benchmarking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Gereed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E6_05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Compliance Monitoring Register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Wettelijke compliance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BRZO/Seveso tracking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Gereed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CAPA Procedure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Correctieve acties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Afhandeling bevindingen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Gereed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E6_07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Zelfevaluatie VBS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Zelfassessment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VBS-maturiteitsmeting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Gereed</w:t>
            </w:r>
          </w:p>
        </w:tc>
      </w:tr>
    </w:tbl>
    <w:p>
      <w:pPr>
        <w:pStyle w:val="Heading2"/>
      </w:pPr>
      <w:r>
        <w:rPr>
          <w:color w:val="003366"/>
        </w:rPr>
        <w:t>8.2 Wat ontbreekt voor volledig Element VIII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Voorgestelde code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Document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Inhoud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Prioriteit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E8_01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Management Review Procedure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Formele procedure inclusief agenda, frequentie, deelnemers, input/output matrix</w:t>
            </w:r>
          </w:p>
        </w:tc>
        <w:tc>
          <w:tcPr>
            <w:tcW w:type="dxa" w:w="2160"/>
            <w:shd w:fill="FFEBEE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Hoog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E8_02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Trendanalyse &amp; Lerend Vermogen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Systematische analyse van incidenttrends, auditbevindingen, KPI-ontwikkeling</w:t>
            </w:r>
          </w:p>
        </w:tc>
        <w:tc>
          <w:tcPr>
            <w:tcW w:type="dxa" w:w="2160"/>
            <w:shd w:fill="FFEBEE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Hoog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E8_03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Externe Audit Voorbereiding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Voorbereiding op toezicht door OD (Inspectie SZW) en externe audits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Gemiddeld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9 Implementatie-gereedheid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Element</w:t>
            </w:r>
          </w:p>
        </w:tc>
        <w:tc>
          <w:tcPr>
            <w:tcW w:type="dxa" w:w="1234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RAG</w:t>
            </w:r>
          </w:p>
        </w:tc>
        <w:tc>
          <w:tcPr>
            <w:tcW w:type="dxa" w:w="1234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Docs Compleet</w:t>
            </w:r>
          </w:p>
        </w:tc>
        <w:tc>
          <w:tcPr>
            <w:tcW w:type="dxa" w:w="1234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Branding</w:t>
            </w:r>
          </w:p>
        </w:tc>
        <w:tc>
          <w:tcPr>
            <w:tcW w:type="dxa" w:w="1234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Cross-refs</w:t>
            </w:r>
          </w:p>
        </w:tc>
        <w:tc>
          <w:tcPr>
            <w:tcW w:type="dxa" w:w="1234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KPI's</w:t>
            </w:r>
          </w:p>
        </w:tc>
        <w:tc>
          <w:tcPr>
            <w:tcW w:type="dxa" w:w="1234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Gereed (%)</w:t>
            </w:r>
          </w:p>
        </w:tc>
      </w:tr>
      <w:tr>
        <w:tc>
          <w:tcPr>
            <w:tcW w:type="dxa" w:w="1234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 — Beleid &amp; Organisatie</w:t>
            </w:r>
          </w:p>
        </w:tc>
        <w:tc>
          <w:tcPr>
            <w:tcW w:type="dxa" w:w="1234"/>
            <w:shd w:fill="E8F5E9" w:val="clear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12/12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95%</w:t>
            </w:r>
          </w:p>
        </w:tc>
      </w:tr>
      <w:tr>
        <w:tc>
          <w:tcPr>
            <w:tcW w:type="dxa" w:w="1234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 — Gevaren &amp; Risico's</w:t>
            </w:r>
          </w:p>
        </w:tc>
        <w:tc>
          <w:tcPr>
            <w:tcW w:type="dxa" w:w="1234"/>
            <w:shd w:fill="E8F5E9" w:val="clear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13/13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95%</w:t>
            </w:r>
          </w:p>
        </w:tc>
      </w:tr>
      <w:tr>
        <w:tc>
          <w:tcPr>
            <w:tcW w:type="dxa" w:w="1234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III — Operationele Controle</w:t>
            </w:r>
          </w:p>
        </w:tc>
        <w:tc>
          <w:tcPr>
            <w:tcW w:type="dxa" w:w="1234"/>
            <w:shd w:fill="E8F5E9" w:val="clear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15/15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95%</w:t>
            </w:r>
          </w:p>
        </w:tc>
      </w:tr>
      <w:tr>
        <w:tc>
          <w:tcPr>
            <w:tcW w:type="dxa" w:w="1234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IV — Noodplan &amp; Response</w:t>
            </w:r>
          </w:p>
        </w:tc>
        <w:tc>
          <w:tcPr>
            <w:tcW w:type="dxa" w:w="1234"/>
            <w:shd w:fill="E8F5E9" w:val="clear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14/14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90%</w:t>
            </w:r>
          </w:p>
        </w:tc>
      </w:tr>
      <w:tr>
        <w:tc>
          <w:tcPr>
            <w:tcW w:type="dxa" w:w="1234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V — Beheersing Wijzigingen</w:t>
            </w:r>
          </w:p>
        </w:tc>
        <w:tc>
          <w:tcPr>
            <w:tcW w:type="dxa" w:w="1234"/>
            <w:shd w:fill="E8F5E9" w:val="clear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7/7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95%</w:t>
            </w:r>
          </w:p>
        </w:tc>
      </w:tr>
      <w:tr>
        <w:tc>
          <w:tcPr>
            <w:tcW w:type="dxa" w:w="1234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VI — Toezicht &amp; Evaluatie</w:t>
            </w:r>
          </w:p>
        </w:tc>
        <w:tc>
          <w:tcPr>
            <w:tcW w:type="dxa" w:w="1234"/>
            <w:shd w:fill="E8F5E9" w:val="clear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7/7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✅</w:t>
            </w:r>
          </w:p>
        </w:tc>
        <w:tc>
          <w:tcPr>
            <w:tcW w:type="dxa" w:w="1234"/>
          </w:tcPr>
          <w:p>
            <w:pPr>
              <w:jc w:val="center"/>
            </w:pPr>
            <w:r>
              <w:rPr>
                <w:rFonts w:ascii="Calibri" w:hAnsi="Calibri"/>
                <w:sz w:val="18"/>
              </w:rPr>
              <w:t>90%</w:t>
            </w:r>
          </w:p>
        </w:tc>
      </w:tr>
    </w:tbl>
    <w:p>
      <w:r>
        <w:rPr>
          <w:b/>
        </w:rPr>
        <w:br/>
        <w:t xml:space="preserve">Overall conclusie: </w:t>
      </w:r>
      <w:r>
        <w:t>JA — gereed voor implementatie. Alle 6 elementen scoren ≥90%. Voorwaarden:</w:t>
        <w:br/>
        <w:t>1. Element VIII documenten ontwikkelen (E8_01, E8_02, E8_03)</w:t>
        <w:br/>
        <w:t>2. Twee deels-gesloten gaps (G-10, G-12) afronden</w:t>
        <w:br/>
        <w:t>3. Training en inwerkprogramma's committeren aan VBS-documentatie</w:t>
        <w:br/>
        <w:t>4. Formele goedkeuring door Directie Phoenix Metals</w:t>
      </w:r>
    </w:p>
    <w:p>
      <w:r>
        <w:br w:type="page"/>
      </w:r>
    </w:p>
    <w:p>
      <w:pPr>
        <w:pStyle w:val="Heading1"/>
      </w:pPr>
      <w:r>
        <w:rPr>
          <w:color w:val="003366"/>
        </w:rPr>
        <w:t>10 Aanbevelingen</w:t>
      </w:r>
    </w:p>
    <w:p>
      <w:pPr>
        <w:pStyle w:val="Heading2"/>
      </w:pPr>
      <w:r>
        <w:rPr>
          <w:color w:val="003366"/>
        </w:rPr>
        <w:t>10.1 Prioriteit 1 (Must) — Directe acties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ID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Doorlooptijd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Rationale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A-01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Ontwikkel Element VIII documenten (E8_01 t/m E8_03)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2-4 weken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Completering BRZO-kolom 12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A-02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Rond G-10 af: Training effectiviteitsmeting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1-2 weken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Koppeling E1_07 → E6_04 dashboard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A-03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Rond G-12 af: Risk-based oefenprogramma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2-3 weken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E4_07 koppelen aan E2_12 MASC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A-04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Formele goedkeuring VBS door Directie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 week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Handtekening documentbeheersing</w:t>
            </w:r>
          </w:p>
        </w:tc>
      </w:tr>
    </w:tbl>
    <w:p>
      <w:pPr>
        <w:pStyle w:val="Heading2"/>
      </w:pPr>
      <w:r>
        <w:rPr>
          <w:color w:val="003366"/>
        </w:rPr>
        <w:t>10.2 Prioriteit 2 (Should) — Verbeteringen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ID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Doorlooptijd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Rationale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B-01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Implementeer digitaal KPI-dashboard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4-6 weken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Realtime monitoring i.p.v. handmatig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B-02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Ontwikkel VBS-training voor alle medewerkers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3-4 weken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Borging kennis en compliance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B-03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Automatiseer MoC-register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2-3 weken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Traceerbaarheid en efficiency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B-04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Integreer CAPA met auditsysteem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2 weken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Gesloten lus bevinding → actie → verificatie</w:t>
            </w:r>
          </w:p>
        </w:tc>
      </w:tr>
    </w:tbl>
    <w:p>
      <w:pPr>
        <w:pStyle w:val="Heading2"/>
      </w:pPr>
      <w:r>
        <w:rPr>
          <w:color w:val="003366"/>
        </w:rPr>
        <w:t>10.3 Prioriteit 3 (Nice) — Optimalisaties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ID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Actie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Doorlooptijd</w:t>
            </w:r>
          </w:p>
        </w:tc>
        <w:tc>
          <w:tcPr>
            <w:tcW w:type="dxa" w:w="216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Rationale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C-01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VBS-documentatie online toegankelijk maken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4-6 weken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Toegankelijkheid en actualiteit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C-02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Benchmarking met soortgelijke inrichtingen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Doorlopend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Lerend vermogen vergroten</w:t>
            </w:r>
          </w:p>
        </w:tc>
      </w:tr>
      <w:tr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C-03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Matureitsassessment (NTA 8620 niveau 4→5)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6-12 maanden</w:t>
            </w:r>
          </w:p>
        </w:tc>
        <w:tc>
          <w:tcPr>
            <w:tcW w:type="dxa" w:w="216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Continue verbetering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11 Conclusie</w:t>
      </w:r>
    </w:p>
    <w:p>
      <w:pPr>
        <w:pStyle w:val="Heading2"/>
      </w:pPr>
      <w:r>
        <w:rPr>
          <w:color w:val="003366"/>
        </w:rPr>
        <w:t>11.1 VBS Status</w:t>
      </w:r>
    </w:p>
    <w:p>
      <w:r>
        <w:rPr>
          <w:b/>
          <w:color w:val="008000"/>
          <w:sz w:val="28"/>
        </w:rPr>
        <w:t>COMPLEET</w:t>
      </w:r>
      <w:r>
        <w:t xml:space="preserve"> — Het VBS van Phoenix Metals (Element I t/m VI) is volledig gedocumenteerd, consistent en voldoet aan alle NTA 8620 vereisten (100% dekking).</w:t>
      </w:r>
    </w:p>
    <w:p>
      <w:pPr>
        <w:pStyle w:val="Heading2"/>
      </w:pPr>
      <w:r>
        <w:rPr>
          <w:color w:val="003366"/>
        </w:rPr>
        <w:t>11.2 Kernbevindingen</w:t>
      </w:r>
    </w:p>
    <w:p>
      <w:pPr>
        <w:pStyle w:val="ListBullet"/>
      </w:pPr>
      <w:r>
        <w:t>68 unieke VBS-documenten + 4 QC-rapporten = 72 documenten geauditeerd</w:t>
      </w:r>
    </w:p>
    <w:p>
      <w:pPr>
        <w:pStyle w:val="ListBullet"/>
      </w:pPr>
      <w:r>
        <w:t>100% NTA 8620 dekking (30/30 vereisten gedekt)</w:t>
      </w:r>
    </w:p>
    <w:p>
      <w:pPr>
        <w:pStyle w:val="ListBullet"/>
      </w:pPr>
      <w:r>
        <w:t>96 cross-referenties tussen elementen geïdentificeerd en geverifieerd</w:t>
      </w:r>
    </w:p>
    <w:p>
      <w:pPr>
        <w:pStyle w:val="ListBullet"/>
      </w:pPr>
      <w:r>
        <w:t>100% consistentie op alle 8 controleparameters</w:t>
      </w:r>
    </w:p>
    <w:p>
      <w:pPr>
        <w:pStyle w:val="ListBullet"/>
      </w:pPr>
      <w:r>
        <w:t>9/12 gaps gesloten (75%), 2 deels gesloten (17%), 1 open (8%)</w:t>
      </w:r>
    </w:p>
    <w:p>
      <w:pPr>
        <w:pStyle w:val="ListBullet"/>
      </w:pPr>
      <w:r>
        <w:t>Implementatie-gereedheid: gemiddeld 93% over alle elementen</w:t>
      </w:r>
    </w:p>
    <w:p>
      <w:pPr>
        <w:pStyle w:val="Heading2"/>
      </w:pPr>
      <w:r>
        <w:rPr>
          <w:color w:val="003366"/>
        </w:rPr>
        <w:t>11.3 Volgende stappen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Termijn</w:t>
            </w:r>
          </w:p>
        </w:tc>
        <w:tc>
          <w:tcPr>
            <w:tcW w:type="dxa" w:w="288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Activiteiten</w:t>
            </w:r>
          </w:p>
        </w:tc>
        <w:tc>
          <w:tcPr>
            <w:tcW w:type="dxa" w:w="2880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Doel</w:t>
            </w:r>
          </w:p>
        </w:tc>
      </w:tr>
      <w:tr>
        <w:tc>
          <w:tcPr>
            <w:tcW w:type="dxa" w:w="288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Kortetermijn (0-4 weken)</w:t>
            </w:r>
          </w:p>
        </w:tc>
        <w:tc>
          <w:tcPr>
            <w:tcW w:type="dxa" w:w="288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VIII ontwikkelen, resterende gaps sluiten, formele goedkeuring</w:t>
            </w:r>
          </w:p>
        </w:tc>
        <w:tc>
          <w:tcPr>
            <w:tcW w:type="dxa" w:w="288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88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Midlentermijn (1-3 maanden)</w:t>
            </w:r>
          </w:p>
        </w:tc>
        <w:tc>
          <w:tcPr>
            <w:tcW w:type="dxa" w:w="288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Implementatie, training medewerkers, digitaal dashboard</w:t>
            </w:r>
          </w:p>
        </w:tc>
        <w:tc>
          <w:tcPr>
            <w:tcW w:type="dxa" w:w="288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</w:r>
          </w:p>
        </w:tc>
      </w:tr>
      <w:tr>
        <w:tc>
          <w:tcPr>
            <w:tcW w:type="dxa" w:w="288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Langetermijn (3-12 maanden)</w:t>
            </w:r>
          </w:p>
        </w:tc>
        <w:tc>
          <w:tcPr>
            <w:tcW w:type="dxa" w:w="288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Externe audit voorbereiding, benchmarking, maturiteitsgroei</w:t>
            </w:r>
          </w:p>
        </w:tc>
        <w:tc>
          <w:tcPr>
            <w:tcW w:type="dxa" w:w="2880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Bronnenlijst</w:t>
      </w:r>
    </w:p>
    <w:p>
      <w:pPr>
        <w:spacing w:after="40"/>
      </w:pPr>
      <w:r>
        <w:t>[1] EU Seveso III-richtlijn (2012/18/EU), Publiekblad van de Europese Unie, 24 juli 2012.</w:t>
      </w:r>
    </w:p>
    <w:p>
      <w:pPr>
        <w:spacing w:after="40"/>
      </w:pPr>
      <w:r>
        <w:t>[2] Besluit risico's zware ongevallen 1999 (BRZO 1999), Staatsblad 1999, 413, laatstelijk gewijzigd 2020.</w:t>
      </w:r>
    </w:p>
    <w:p>
      <w:pPr>
        <w:spacing w:after="40"/>
      </w:pPr>
      <w:r>
        <w:t>[3] NTA 8620:2020 — Veiligheidsbeheerssysteem voor Seveso-inrichtingen, NEN, 2020.</w:t>
      </w:r>
    </w:p>
    <w:p>
      <w:pPr>
        <w:spacing w:after="40"/>
      </w:pPr>
      <w:r>
        <w:t>[4] Arbowet (Wet van 18 maart 1999) en Arbobesluit, overheid.nl.</w:t>
      </w:r>
    </w:p>
    <w:p>
      <w:pPr>
        <w:spacing w:after="40"/>
      </w:pPr>
      <w:r>
        <w:t>[5] Documentatie VBS Element I — PM_VBS01_01 t/m PM_VBS01_12, JvG Consultancy, 2026.</w:t>
      </w:r>
    </w:p>
    <w:p>
      <w:pPr>
        <w:spacing w:after="40"/>
      </w:pPr>
      <w:r>
        <w:t>[6] Documentatie VBS Element II — PM_VBS02_01 t/m PM_VBS02_13, JvG Consultancy, 2026.</w:t>
      </w:r>
    </w:p>
    <w:p>
      <w:pPr>
        <w:spacing w:after="40"/>
      </w:pPr>
      <w:r>
        <w:t>[7] Documentatie VBS Element III — PM_VBS03_01 t/m PM_VBS03_15, JvG Consultancy, 2026.</w:t>
      </w:r>
    </w:p>
    <w:p>
      <w:pPr>
        <w:spacing w:after="40"/>
      </w:pPr>
      <w:r>
        <w:t>[8] Documentatie VBS Element IV — PM_VBS04_01 t/m PM_VBS04_14, JvG Consultancy, 2026.</w:t>
      </w:r>
    </w:p>
    <w:p>
      <w:pPr>
        <w:spacing w:after="40"/>
      </w:pPr>
      <w:r>
        <w:t>[9] Documentatie VBS Element V — PM_VBS05_01 t/m PM_VBS05_07, JvG Consultancy, 2026.</w:t>
      </w:r>
    </w:p>
    <w:p>
      <w:pPr>
        <w:spacing w:after="40"/>
      </w:pPr>
      <w:r>
        <w:t>[10] Documentatie VBS Element VI — PM_VBS06_01 t/m PM_VBS06_07, JvG Consultancy, 2026.</w:t>
      </w:r>
    </w:p>
    <w:p>
      <w:pPr>
        <w:spacing w:after="40"/>
      </w:pPr>
      <w:r>
        <w:t>[11] IEC 61511 — Functional Safety: Safety Instrumented Systems for the Process Industry, IEC, 2016.</w:t>
      </w:r>
    </w:p>
    <w:p>
      <w:pPr>
        <w:spacing w:after="40"/>
      </w:pPr>
      <w:r>
        <w:t>[12] ISO 45001:2018 — Occupational Health and Safety Management Systems, ISO.</w:t>
      </w:r>
    </w:p>
    <w:p/>
    <w:p>
      <w:pPr>
        <w:pStyle w:val="Heading1"/>
      </w:pPr>
      <w:r>
        <w:rPr>
          <w:color w:val="003366"/>
        </w:rPr>
        <w:t>TierVerify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Check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Bron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Criteria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Resultaat</w:t>
            </w:r>
          </w:p>
        </w:tc>
        <w:tc>
          <w:tcPr>
            <w:tcW w:type="dxa" w:w="1728"/>
            <w:shd w:fill="003366" w:val="clear"/>
          </w:tcPr>
          <w:p>
            <w:r/>
            <w:r>
              <w:rPr>
                <w:rFonts w:ascii="Calibri" w:hAnsi="Calibri"/>
                <w:b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NTA 8620 dekking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Documentanalyse E1-E6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30/30 vereisten gedekt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100% gedekt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PASS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Cross-referentie integriteit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Matrix E1-E6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Min. 80 koppelingen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96 koppelingen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PASS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Consistentie terminologie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Vergelijking alle elementen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Uniforme termen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8/8 consistent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PASS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Risicomatrix harmonisatie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E2_03 vs E5_03 vs E3_10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Identieke 5×5 matrix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Volledig consistent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PASS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RASCI-rollen consistentie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E5_06 als master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Zelfde rolnamen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Volledig consistent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PASS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Documentnummering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Alle 72 documenten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Geen overlappingen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Geen overlappingen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PASS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Branding JvG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Alle documenten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Logo + footer + kleuren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Volledig aanwezig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PASS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Gap-status post-NTA 8620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Gap register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Min. 75% gesloten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75% gesloten (9/12)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PASS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Implementatie-gereedheid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RAG-score per element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Min. 80% per element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Min. 90% per element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PASS</w:t>
            </w:r>
          </w:p>
        </w:tc>
      </w:tr>
      <w:tr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Element VIII voorbereiding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E6-documenten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Basis aanwezig</w:t>
            </w:r>
          </w:p>
        </w:tc>
        <w:tc>
          <w:tcPr>
            <w:tcW w:type="dxa" w:w="1728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9/9 relevante docs gereed</w:t>
            </w:r>
          </w:p>
        </w:tc>
        <w:tc>
          <w:tcPr>
            <w:tcW w:type="dxa" w:w="1728"/>
            <w:shd w:fill="E8F5E9" w:val="clear"/>
          </w:tcPr>
          <w:p>
            <w:pPr>
              <w:jc w:val="left"/>
            </w:pPr>
            <w:r>
              <w:rPr>
                <w:rFonts w:ascii="Calibri" w:hAnsi="Calibri"/>
                <w:sz w:val="18"/>
              </w:rPr>
              <w:t>✅ PASS</w:t>
            </w:r>
          </w:p>
        </w:tc>
      </w:tr>
    </w:tbl>
    <w:p/>
    <w:p>
      <w:r>
        <w:rPr>
          <w:b/>
          <w:color w:val="008000"/>
        </w:rPr>
        <w:t>TierVerify Resultaat: 10/10 checks PASS — Document goedgekeurd voor levering.</w:t>
      </w:r>
    </w:p>
    <w:p>
      <w:r>
        <w:br/>
        <w:t>Verifier: Kas — Director of Operations, JvG Consultancy</w:t>
        <w:br/>
      </w:r>
      <w:r>
        <w:t>Datum: 29-04-2026</w:t>
        <w:br/>
      </w:r>
      <w:r>
        <w:t>Versie: 1.0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66666"/>
        <w:sz w:val="16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Calibri" w:hAnsi="Calibri"/>
      <w:b/>
      <w:bCs/>
      <w:i/>
      <w:iCs/>
      <w:color w:val="003366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