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22"/>
        </w:rPr>
        <w:t>PM_VBS06_05 — Compliance Monitoring Register</w:t>
      </w:r>
    </w:p>
    <w:p/>
    <w:p>
      <w:pPr>
        <w:pStyle w:val="Heading1"/>
      </w:pPr>
      <w:r>
        <w:rPr>
          <w:rFonts w:ascii="Calibri" w:hAnsi="Calibri"/>
          <w:color w:val="003366"/>
          <w:sz w:val="28"/>
        </w:rPr>
        <w:t>1. Inleiding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4320"/>
          </w:tcPr>
          <w:p>
            <w:r>
              <w:t>Phoenix Metals VBS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Type</w:t>
            </w:r>
          </w:p>
        </w:tc>
        <w:tc>
          <w:tcPr>
            <w:tcW w:type="dxa" w:w="4320"/>
          </w:tcPr>
          <w:p>
            <w:r>
              <w:t>PM_VBS06_05_Compliance_Monitoring_Register.docx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Auteur</w:t>
            </w:r>
          </w:p>
        </w:tc>
        <w:tc>
          <w:tcPr>
            <w:tcW w:type="dxa" w:w="4320"/>
          </w:tcPr>
          <w:p>
            <w:r>
              <w:t>JvG Consultancy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Versie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4320"/>
          </w:tcPr>
          <w:p>
            <w:r>
              <w:t>2026-04-29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4320"/>
          </w:tcPr>
          <w:p>
            <w:r>
              <w:t>Definitief</w:t>
            </w:r>
          </w:p>
        </w:tc>
      </w:tr>
    </w:tbl>
    <w:p>
      <w:r>
        <w:rPr>
          <w:rFonts w:ascii="Calibri" w:hAnsi="Calibri"/>
          <w:b w:val="0"/>
          <w:sz w:val="22"/>
        </w:rPr>
        <w:t>Dit document beschrijft de methodiek voor systematische monitoring van wet- en regelgeving compliance binnen het VBS, conform NTA 8620 par. 9.1 en BRZO 2015 [1][2]. Het compliance register is het primaire instrument om aantoonbaar te maken dat aan alle relevante wettelijke eisen wordt voldaan.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2. Compliance Register Structuur</w:t>
      </w:r>
    </w:p>
    <w:p>
      <w:r>
        <w:rPr>
          <w:rFonts w:ascii="Calibri" w:hAnsi="Calibri"/>
          <w:b w:val="0"/>
          <w:sz w:val="22"/>
        </w:rPr>
        <w:t>Het register (XLSX) bevat de volgende structuur per wetgevingsitem:</w:t>
      </w:r>
    </w:p>
    <w:p>
      <w:r>
        <w:rPr>
          <w:rFonts w:ascii="Calibri" w:hAnsi="Calibri"/>
          <w:b w:val="0"/>
          <w:sz w:val="22"/>
        </w:rPr>
        <w:t>• Wetgeving → Artikel → Specifieke eis → Toepasselijkheid → Status → Bewijs → Check-data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3. Monitoring Methodiek</w:t>
      </w:r>
    </w:p>
    <w:p>
      <w:r>
        <w:rPr>
          <w:rFonts w:ascii="Calibri" w:hAnsi="Calibri"/>
          <w:b w:val="0"/>
          <w:sz w:val="22"/>
        </w:rPr>
        <w:t>Kwartaallijks: Lichtgewicht scan van nieuwe/amendementen wetgeving via overheidspublicaties en branchnieuwsbrieven.</w:t>
      </w:r>
    </w:p>
    <w:p>
      <w:r>
        <w:rPr>
          <w:rFonts w:ascii="Calibri" w:hAnsi="Calibri"/>
          <w:b w:val="0"/>
          <w:sz w:val="22"/>
        </w:rPr>
        <w:t>Jaarlijks: Volledige herbeoordeling van alle items in het register, inclusief verificatie van bewijsstukken en status.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4. Rapportage</w:t>
      </w:r>
    </w:p>
    <w:p>
      <w:r>
        <w:rPr>
          <w:rFonts w:ascii="Calibri" w:hAnsi="Calibri"/>
          <w:b w:val="0"/>
          <w:sz w:val="22"/>
        </w:rPr>
        <w:t>Kwartaallijks compliance status rapportage aan HSE Manager en Directie. Statusclassificatie: Compliant (groen), Partial (amber), Non-compliant (rood). Non-compliant items trigger direct een CAPA (PM_VBS06_06).</w:t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Bronnenlijst</w:t>
      </w:r>
    </w:p>
    <w:p>
      <w:r>
        <w:rPr>
          <w:rFonts w:ascii="Calibri" w:hAnsi="Calibri"/>
          <w:b w:val="0"/>
          <w:sz w:val="20"/>
        </w:rPr>
        <w:t>[1] NTA 8620:2016 — Veiligheidsbeheerssysteem voor Seveso-inrichtingen</w:t>
      </w:r>
    </w:p>
    <w:p>
      <w:r>
        <w:rPr>
          <w:rFonts w:ascii="Calibri" w:hAnsi="Calibri"/>
          <w:b w:val="0"/>
          <w:sz w:val="20"/>
        </w:rPr>
        <w:t>[2] BRZO 2015 — Besluit risico's zware ongevallen</w:t>
      </w:r>
    </w:p>
    <w:p>
      <w:r>
        <w:rPr>
          <w:rFonts w:ascii="Calibri" w:hAnsi="Calibri"/>
          <w:b w:val="0"/>
          <w:sz w:val="20"/>
        </w:rPr>
        <w:t>[3] Arbowet — Arbeidsomstandighedenwet</w:t>
      </w:r>
    </w:p>
    <w:p>
      <w:r>
        <w:rPr>
          <w:rFonts w:ascii="Calibri" w:hAnsi="Calibri"/>
          <w:b w:val="0"/>
          <w:sz w:val="20"/>
        </w:rPr>
        <w:t>[4] Wm — Wet milieubeheer</w:t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Wetgevingsitems compleet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BRZO Bijlage I / Arbowet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Status classificatie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NTA 8620 par. 9.1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  <w:r>
      <w:drawing>
        <wp:inline xmlns:a="http://schemas.openxmlformats.org/drawingml/2006/main" xmlns:pic="http://schemas.openxmlformats.org/drawingml/2006/picture">
          <wp:extent cx="720000" cy="6480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