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sz w:val="22"/>
        </w:rPr>
        <w:t>PM_VBS06_04 — KPI Dashboard &amp; Monitoring</w:t>
      </w:r>
    </w:p>
    <w:p/>
    <w:p>
      <w:pPr>
        <w:pStyle w:val="Heading1"/>
      </w:pPr>
      <w:r>
        <w:rPr>
          <w:rFonts w:ascii="Calibri" w:hAnsi="Calibri"/>
          <w:color w:val="003366"/>
          <w:sz w:val="28"/>
        </w:rPr>
        <w:t>1. Inleiding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003366"/>
          </w:tcPr>
          <w:p>
            <w:r>
              <w:rPr>
                <w:b/>
                <w:color w:val="FFFFFF"/>
              </w:rPr>
              <w:t>Project</w:t>
            </w:r>
          </w:p>
        </w:tc>
        <w:tc>
          <w:tcPr>
            <w:tcW w:type="dxa" w:w="4320"/>
          </w:tcPr>
          <w:p>
            <w:r>
              <w:t>Phoenix Metals VBS</w:t>
            </w:r>
          </w:p>
        </w:tc>
      </w:tr>
      <w:tr>
        <w:tc>
          <w:tcPr>
            <w:tcW w:type="dxa" w:w="4320"/>
            <w:shd w:fill="003366"/>
          </w:tcPr>
          <w:p>
            <w:r>
              <w:rPr>
                <w:b/>
                <w:color w:val="FFFFFF"/>
              </w:rPr>
              <w:t>Type</w:t>
            </w:r>
          </w:p>
        </w:tc>
        <w:tc>
          <w:tcPr>
            <w:tcW w:type="dxa" w:w="4320"/>
          </w:tcPr>
          <w:p>
            <w:r>
              <w:t>PM_VBS06_04_KPI_Dashboard_Monitoring.docx</w:t>
            </w:r>
          </w:p>
        </w:tc>
      </w:tr>
      <w:tr>
        <w:tc>
          <w:tcPr>
            <w:tcW w:type="dxa" w:w="4320"/>
            <w:shd w:fill="003366"/>
          </w:tcPr>
          <w:p>
            <w:r>
              <w:rPr>
                <w:b/>
                <w:color w:val="FFFFFF"/>
              </w:rPr>
              <w:t>Auteur</w:t>
            </w:r>
          </w:p>
        </w:tc>
        <w:tc>
          <w:tcPr>
            <w:tcW w:type="dxa" w:w="4320"/>
          </w:tcPr>
          <w:p>
            <w:r>
              <w:t>JvG Consultancy</w:t>
            </w:r>
          </w:p>
        </w:tc>
      </w:tr>
      <w:tr>
        <w:tc>
          <w:tcPr>
            <w:tcW w:type="dxa" w:w="4320"/>
            <w:shd w:fill="003366"/>
          </w:tcPr>
          <w:p>
            <w:r>
              <w:rPr>
                <w:b/>
                <w:color w:val="FFFFFF"/>
              </w:rPr>
              <w:t>Versie</w:t>
            </w:r>
          </w:p>
        </w:tc>
        <w:tc>
          <w:tcPr>
            <w:tcW w:type="dxa" w:w="4320"/>
          </w:tcPr>
          <w:p>
            <w:r>
              <w:t>1.0</w:t>
            </w:r>
          </w:p>
        </w:tc>
      </w:tr>
      <w:tr>
        <w:tc>
          <w:tcPr>
            <w:tcW w:type="dxa" w:w="4320"/>
            <w:shd w:fill="003366"/>
          </w:tcPr>
          <w:p>
            <w:r>
              <w:rPr>
                <w:b/>
                <w:color w:val="FFFFFF"/>
              </w:rPr>
              <w:t>Datum</w:t>
            </w:r>
          </w:p>
        </w:tc>
        <w:tc>
          <w:tcPr>
            <w:tcW w:type="dxa" w:w="4320"/>
          </w:tcPr>
          <w:p>
            <w:r>
              <w:t>2026-04-29</w:t>
            </w:r>
          </w:p>
        </w:tc>
      </w:tr>
      <w:tr>
        <w:tc>
          <w:tcPr>
            <w:tcW w:type="dxa" w:w="4320"/>
            <w:shd w:fill="003366"/>
          </w:tcPr>
          <w:p>
            <w:r>
              <w:rPr>
                <w:b/>
                <w:color w:val="FFFFFF"/>
              </w:rPr>
              <w:t>Status</w:t>
            </w:r>
          </w:p>
        </w:tc>
        <w:tc>
          <w:tcPr>
            <w:tcW w:type="dxa" w:w="4320"/>
          </w:tcPr>
          <w:p>
            <w:r>
              <w:t>Definitief</w:t>
            </w:r>
          </w:p>
        </w:tc>
      </w:tr>
    </w:tbl>
    <w:p>
      <w:r>
        <w:rPr>
          <w:rFonts w:ascii="Calibri" w:hAnsi="Calibri"/>
          <w:b w:val="0"/>
          <w:sz w:val="22"/>
        </w:rPr>
        <w:t>Dit document definieert het KPI-raamwerk voor het VBS, conform NTA 8620 par. 9.1 en BRZO Element VII. De KPI's meten de prestaties van alle VBS-elementen en voorzien het management van stuurinformatie [1].</w:t>
      </w:r>
    </w:p>
    <w:p>
      <w:pPr>
        <w:pStyle w:val="Heading1"/>
      </w:pPr>
      <w:r>
        <w:rPr>
          <w:rFonts w:ascii="Calibri" w:hAnsi="Calibri"/>
          <w:color w:val="003366"/>
          <w:sz w:val="28"/>
        </w:rPr>
        <w:t>2. KPI Framework</w:t>
      </w:r>
    </w:p>
    <w:p>
      <w:r>
        <w:rPr>
          <w:rFonts w:ascii="Calibri" w:hAnsi="Calibri"/>
          <w:b w:val="0"/>
          <w:sz w:val="22"/>
        </w:rPr>
        <w:t>Alle KPI's voldoen aan de SMART-criteria (Specifiek, Meetbaar, Acceptabel, Realistisch, Tijdgebonden). Data-bronnen zijn geïntegreerd met het VBS-documentatie-systeem. Frequentie: maandelijks, kwartaallijks of jaarlijks afhankelijk van het type indicator.</w:t>
      </w:r>
    </w:p>
    <w:p>
      <w:pPr>
        <w:pStyle w:val="Heading1"/>
      </w:pPr>
      <w:r>
        <w:rPr>
          <w:rFonts w:ascii="Calibri" w:hAnsi="Calibri"/>
          <w:color w:val="003366"/>
          <w:sz w:val="28"/>
        </w:rPr>
        <w:t>3. KPI's per Element</w:t>
      </w:r>
    </w:p>
    <w:p>
      <w:pPr>
        <w:pStyle w:val="Heading2"/>
      </w:pPr>
      <w:r>
        <w:rPr>
          <w:rFonts w:ascii="Calibri" w:hAnsi="Calibri"/>
          <w:color w:val="003366"/>
          <w:sz w:val="24"/>
        </w:rPr>
        <w:t>Element I — Beleid &amp; Organisatie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KPI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Definitie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Target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Frequentie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Management Review uitvoering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% geplande MR's uitgevoerd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100%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MR verslagen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Jaarlijks</w:t>
            </w:r>
          </w:p>
        </w:tc>
      </w:tr>
      <w:tr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Training compliance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% medewerkers met actuele training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≥95%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Training matrix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Maandelijks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VBS-budget benutting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% besteed vs. vastgesteld budget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90-110%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Financiële admin.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Kwartaallijks</w:t>
            </w:r>
          </w:p>
        </w:tc>
      </w:tr>
      <w:tr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Communicatie-effectiviteit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Score veiligheidscommunicatie enquête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≥4.0/5.0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Enquête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Kwartaallijks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Documentbeheer compliance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% documenten actueel binnen revisiecyclus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≥90%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DMS rapportage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Maandelijks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  <w:sz w:val="24"/>
        </w:rPr>
        <w:t>Element II — Risico-identificatie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KPI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Definitie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Target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Frequentie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RI&amp;E actualiteit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Maanden sinds laatste RI&amp;E-update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≤12 maanden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RI&amp;E register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Kwartaallijks</w:t>
            </w:r>
          </w:p>
        </w:tc>
      </w:tr>
      <w:tr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HAZOP afdekking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% kritieke installaties met actuele HAZOP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100%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HAZOP register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Jaarlijks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Risicomatrix actualiteit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Risicomatrix herzien in verslagjaar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Ja/Nee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Risico register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Kwartaallijks</w:t>
            </w:r>
          </w:p>
        </w:tc>
      </w:tr>
      <w:tr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MASC review frequentie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Aantal MASC reviews per jaar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≥2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MASC log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Halfjaarlijks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Openstaande risico-acties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Aantal openstaande risicobeheersmaatregelen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≤5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Actielijst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Maandelijks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  <w:sz w:val="24"/>
        </w:rPr>
        <w:t>Element III — Technische Maatregelen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KPI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Definitie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Target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Frequentie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SCE inspectie compliance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% SCE geïnspecteerd conform schema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100%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Onderhoudssysteem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Maandelijks</w:t>
            </w:r>
          </w:p>
        </w:tc>
      </w:tr>
      <w:tr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LOTO procedure naleving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% LOTO procedures correct uitgevoerd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≥98%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Observatie rapporten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Maandelijks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SIL-classificatie actualiteit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% SIF's met actuele SIL-verificatie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100%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SIS register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Jaarlijks</w:t>
            </w:r>
          </w:p>
        </w:tc>
      </w:tr>
      <w:tr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Alarm management performance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Gemiddelde alarmen per uur per operator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≤6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DCS log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Kwartaallijks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Technische documentatie actualiteit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% P&amp;ID's actueel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≥95%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DMS rapportage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Kwartaallijks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  <w:sz w:val="24"/>
        </w:rPr>
        <w:t>Element IV — Operationele Controle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KPI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Definitie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Target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Frequentie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BHV oefening frequentie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Aantal oefeningen per jaar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≥4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Oefenlog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Kwartaallijks</w:t>
            </w:r>
          </w:p>
        </w:tc>
      </w:tr>
      <w:tr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BNP actualiteit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BNP herzien in verslagjaar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Ja/Nee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BNP document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Jaarlijks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Incidentenratio (TRIR)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Total Recordable Incident Rate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≤1.0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Incidentenregister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Maandelijks</w:t>
            </w:r>
          </w:p>
        </w:tc>
      </w:tr>
      <w:tr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Evacuatie tijd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Gemiddelde evacuatietijd bij oefening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≤5 min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Oefenlog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Kwartaallijks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BCP test frequentie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BCP getest in verslagjaar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Ja/Nee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BCP log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Jaarlijks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  <w:sz w:val="24"/>
        </w:rPr>
        <w:t>Element V — Management of Change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KPI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Definitie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Target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Frequentie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MoC procedure naleving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% wijzigingen via MoC procedure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100%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MoC register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Maandelijks</w:t>
            </w:r>
          </w:p>
        </w:tc>
      </w:tr>
      <w:tr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MoC doorlooptijd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Gemiddelde doorlooptijd MoC-traject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≤15 werkdagen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MoC register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Kwartaallijks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Post-implementation review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% MoC's met PIR uitgevoerd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≥90%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MoC register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Kwartaallijks</w:t>
            </w:r>
          </w:p>
        </w:tc>
      </w:tr>
      <w:tr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Regulatory change response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Dagen tot verwerking nieuwe regelgeving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≤30 dagen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Compliance register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Kwartaallijks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MoC-backlog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Aantal openstaande MoC-trajecten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≤3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MoC register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Maandelijks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  <w:sz w:val="24"/>
        </w:rPr>
        <w:t>Element VI — Monitoring &amp; Meten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KPI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Definitie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Target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1728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Frequentie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Audit programma uitvoering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% geplande audits uitgevoerd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100%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Audit planning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Kwartaallijks</w:t>
            </w:r>
          </w:p>
        </w:tc>
      </w:tr>
      <w:tr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Audit bevindingen afsluiting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% NC's afgesloten binnen termijn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≥90%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CAPA register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Kwartaallijks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Compliance score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% compliant uit compliance register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≥95%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Compliance register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Kwartaallijks</w:t>
            </w:r>
          </w:p>
        </w:tc>
      </w:tr>
      <w:tr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KPI rapportage tijdigheid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KPI's gerapporteerd binnen deadline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100%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KPI dashboard</w:t>
            </w:r>
          </w:p>
        </w:tc>
        <w:tc>
          <w:tcPr>
            <w:tcW w:type="dxa" w:w="1728"/>
            <w:shd w:fill="E8EEF4" w:val="clear"/>
          </w:tcPr>
          <w:p>
            <w:r>
              <w:rPr>
                <w:rFonts w:ascii="Calibri" w:hAnsi="Calibri"/>
                <w:sz w:val="20"/>
              </w:rPr>
              <w:t>Maandelijks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Zelfevaluatie uitgevoerd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VBS zelfevaluatie jaarlijks afgerond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Ja/Nee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Zelfevaluatierapport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Jaarlijks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  <w:sz w:val="28"/>
        </w:rPr>
        <w:t>4. Reporting Cadans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Frequentie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Rapportage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Doelgroep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Inhoud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Maandelijks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HSE Performance Report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HSE Manager + Directie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KPI's, incidenten, openstaande acties</w:t>
            </w:r>
          </w:p>
        </w:tc>
      </w:tr>
      <w:tr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Kwartaallijks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VBS Voortgangsrapport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Directie + OR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Element-status, compliance, trends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Jaarlijks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Management Review Input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Top Management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Zelfevaluatie, benchmarking, verbeterplan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  <w:sz w:val="28"/>
        </w:rPr>
        <w:t>5. Dashboard Beschrijving</w:t>
      </w:r>
    </w:p>
    <w:p>
      <w:r>
        <w:rPr>
          <w:rFonts w:ascii="Calibri" w:hAnsi="Calibri"/>
          <w:b w:val="0"/>
          <w:sz w:val="22"/>
        </w:rPr>
        <w:t>Het KPI Dashboard (XLSX) bevat drie werkbladen:</w:t>
      </w:r>
    </w:p>
    <w:p>
      <w:r>
        <w:rPr>
          <w:rFonts w:ascii="Calibri" w:hAnsi="Calibri"/>
          <w:b w:val="0"/>
          <w:sz w:val="22"/>
        </w:rPr>
        <w:t>1. KPI Register — Volledig overzicht van 30 KPI's met SMART-definities, targets en kwartaalwaarden</w:t>
      </w:r>
    </w:p>
    <w:p>
      <w:r>
        <w:rPr>
          <w:rFonts w:ascii="Calibri" w:hAnsi="Calibri"/>
          <w:b w:val="0"/>
          <w:sz w:val="22"/>
        </w:rPr>
        <w:t>2. Dashboard — Samenvatting met RAG-status (Red/Amber/Green) per VBS-element</w:t>
      </w:r>
    </w:p>
    <w:p>
      <w:r>
        <w:rPr>
          <w:rFonts w:ascii="Calibri" w:hAnsi="Calibri"/>
          <w:b w:val="0"/>
          <w:sz w:val="22"/>
        </w:rPr>
        <w:t>3. Trending — Maandelijkse datastructuur voor trendanalyse over 12 maanden</w:t>
      </w:r>
    </w:p>
    <w:p>
      <w:pPr>
        <w:pStyle w:val="Heading2"/>
      </w:pPr>
      <w:r>
        <w:rPr>
          <w:rFonts w:ascii="Calibri" w:hAnsi="Calibri"/>
          <w:color w:val="003366"/>
          <w:sz w:val="24"/>
        </w:rPr>
        <w:t>Bronnenlijst</w:t>
      </w:r>
    </w:p>
    <w:p>
      <w:r>
        <w:rPr>
          <w:rFonts w:ascii="Calibri" w:hAnsi="Calibri"/>
          <w:b w:val="0"/>
          <w:sz w:val="20"/>
        </w:rPr>
        <w:t>[1] NTA 8620:2016 — Veiligheidsbeheerssysteem voor Seveso-inrichtingen</w:t>
      </w:r>
    </w:p>
    <w:p>
      <w:r>
        <w:rPr>
          <w:rFonts w:ascii="Calibri" w:hAnsi="Calibri"/>
          <w:b w:val="0"/>
          <w:sz w:val="20"/>
        </w:rPr>
        <w:t>[2] BRZO 2015 — Besluit risico's zware ongevallen</w:t>
      </w:r>
    </w:p>
    <w:p>
      <w:r>
        <w:rPr>
          <w:rFonts w:ascii="Calibri" w:hAnsi="Calibri"/>
          <w:b w:val="0"/>
          <w:sz w:val="20"/>
        </w:rPr>
        <w:t>[3] HSG 254 — Developing process safety indicators (HSE UK)</w:t>
      </w:r>
    </w:p>
    <w:p>
      <w:pPr>
        <w:pStyle w:val="Heading2"/>
      </w:pPr>
      <w:r>
        <w:rPr>
          <w:rFonts w:ascii="Calibri" w:hAnsi="Calibri"/>
          <w:color w:val="003366"/>
          <w:sz w:val="24"/>
        </w:rPr>
        <w:t>TierVerify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288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288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KPI definities SMART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HSG 254 / NTA 8620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✓ Geverifieerd</w:t>
            </w:r>
          </w:p>
        </w:tc>
      </w:tr>
      <w:tr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30 KPI's × 6 elementen</w:t>
            </w:r>
          </w:p>
        </w:tc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NTA 8620 par. 9.1</w:t>
            </w:r>
          </w:p>
        </w:tc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✓ Geverifieerd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sz w:val="18"/>
      </w:rP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720000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  <w:r>
      <w:drawing>
        <wp:inline xmlns:a="http://schemas.openxmlformats.org/drawingml/2006/main" xmlns:pic="http://schemas.openxmlformats.org/drawingml/2006/picture">
          <wp:extent cx="720000" cy="648000"/>
          <wp:docPr id="2" name="Picture 2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