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Intern Audit Programma</w:t>
      </w:r>
    </w:p>
    <w:p>
      <w:pPr>
        <w:jc w:val="center"/>
      </w:pPr>
      <w:r>
        <w:rPr>
          <w:rFonts w:ascii="Calibri" w:hAnsi="Calibri"/>
          <w:color w:val="1F2F37"/>
          <w:sz w:val="28"/>
        </w:rPr>
        <w:t>PM_VBS06_02</w:t>
      </w:r>
    </w:p>
    <w:p/>
    <w:p>
      <w:pPr>
        <w:jc w:val="center"/>
      </w:pPr>
      <w:r>
        <w:rPr>
          <w:rFonts w:ascii="Calibri" w:hAnsi="Calibri"/>
          <w:sz w:val="22"/>
        </w:rPr>
        <w:t>JvG Consultancy</w:t>
        <w:br/>
        <w:t>Veiligheidsbeheerssysteem (VBS)</w:t>
        <w:br/>
        <w:t>BRZO VII: Toezicht op de Prestaties</w:t>
      </w:r>
    </w:p>
    <w:p>
      <w:pPr>
        <w:jc w:val="center"/>
      </w:pPr>
      <w:r>
        <w:rPr>
          <w:rFonts w:ascii="Calibri" w:hAnsi="Calibri"/>
          <w:sz w:val="22"/>
        </w:rPr>
        <w:t>Versie 1.0 — April 2026</w:t>
      </w:r>
    </w:p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Documentbeheersing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Kas (HSEQ Specialist)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Initiële versie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Inhoudsopgave</w:t>
      </w:r>
    </w:p>
    <w:p>
      <w:r>
        <w:rPr>
          <w:rFonts w:ascii="Calibri" w:hAnsi="Calibri"/>
          <w:b w:val="0"/>
          <w:sz w:val="22"/>
        </w:rPr>
        <w:t>[Inhoudsopgave wordt bijgewerkt bij documentfinalisatie]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1. Inleiding</w:t>
      </w:r>
    </w:p>
    <w:p>
      <w:r>
        <w:rPr>
          <w:rFonts w:ascii="Calibri" w:hAnsi="Calibri"/>
          <w:b w:val="0"/>
          <w:sz w:val="22"/>
        </w:rPr>
        <w:t>Dit document beschrijft het interne audit programma voor het Veiligheidsbeheerssysteem (VBS), conform BRZO Element VII (Toezicht op de Prestaties). Het bouwt voort op het Audit Beleid &amp; Kaderdocument (PM_VBS06_01) en operationaliseert de daarin gedefinieerde auditstrategie.</w:t>
      </w:r>
    </w:p>
    <w:p>
      <w:r>
        <w:rPr>
          <w:rFonts w:ascii="Calibri" w:hAnsi="Calibri"/>
          <w:b w:val="0"/>
          <w:sz w:val="22"/>
        </w:rPr>
        <w:t>De methodiek is gebaseerd op NEN-EN-ISO 19011:2018 (Richtlijnen voor het auditen van managementsystemen) en NTA 8620:2016 [1]. Het programma waarborgt dat alle VBS-elementen (I t/m VII) jaarlijks systematisch worden geëvalueerd.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2. Audit Planning</w:t>
      </w:r>
    </w:p>
    <w:p>
      <w:r>
        <w:rPr>
          <w:rFonts w:ascii="Calibri" w:hAnsi="Calibri"/>
          <w:b w:val="0"/>
          <w:sz w:val="22"/>
        </w:rPr>
        <w:t>Het audit programma volgt een jaarcyclus waarin alle zeven VBS-elementen worden geaudit. De planning is zodanig opgezet dat elementen met hoger risicoprofiel frequentere aandacht ontvangen.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2.1 Jaarcyclus</w:t>
      </w:r>
    </w:p>
    <w:p>
      <w:r>
        <w:rPr>
          <w:rFonts w:ascii="Calibri" w:hAnsi="Calibri"/>
          <w:b w:val="0"/>
          <w:sz w:val="22"/>
        </w:rPr>
        <w:t>Per kalenderjaar worden minimaal 12 interne audits uitgevoerd. Elke audit bestrijkt één of meer VBS-elementen. Het rotatieschema waarborgt dat elk element minimaal één keer per jaar volledig wordt geaudit.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3. Audit Methodiek</w:t>
      </w:r>
    </w:p>
    <w:p>
      <w:r>
        <w:rPr>
          <w:rFonts w:ascii="Calibri" w:hAnsi="Calibri"/>
          <w:b w:val="0"/>
          <w:sz w:val="22"/>
        </w:rPr>
        <w:t>De audit methodiek volgt de ISO 19011:2018 cyclus [2]:</w:t>
      </w:r>
    </w:p>
    <w:p>
      <w:r>
        <w:rPr>
          <w:rFonts w:ascii="Calibri" w:hAnsi="Calibri"/>
          <w:b w:val="0"/>
          <w:sz w:val="22"/>
        </w:rPr>
        <w:t>• Planning: Scope bepalen, criteria definiëren, team samenstellen, checklist voorbereiden</w:t>
      </w:r>
    </w:p>
    <w:p>
      <w:r>
        <w:rPr>
          <w:rFonts w:ascii="Calibri" w:hAnsi="Calibri"/>
          <w:b w:val="0"/>
          <w:sz w:val="22"/>
        </w:rPr>
        <w:t>• Uitvoering: Opening meeting, document review, interviews, observatie, closing meeting</w:t>
      </w:r>
    </w:p>
    <w:p>
      <w:r>
        <w:rPr>
          <w:rFonts w:ascii="Calibri" w:hAnsi="Calibri"/>
          <w:b w:val="0"/>
          <w:sz w:val="22"/>
        </w:rPr>
        <w:t>• Rapportage: Bevindingen documenteren, classificeren, rapport uitbrengen binnen 14 werkdagen</w:t>
      </w:r>
    </w:p>
    <w:p>
      <w:r>
        <w:rPr>
          <w:rFonts w:ascii="Calibri" w:hAnsi="Calibri"/>
          <w:b w:val="0"/>
          <w:sz w:val="22"/>
        </w:rPr>
        <w:t>• Follow-up: CAPA initiëren, implementatie monitoren, effectiviteit verifiëren, afsluiten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4. Auditor Kwalificaties</w:t>
      </w:r>
    </w:p>
    <w:p>
      <w:r>
        <w:rPr>
          <w:rFonts w:ascii="Calibri" w:hAnsi="Calibri"/>
          <w:b w:val="0"/>
          <w:sz w:val="22"/>
        </w:rPr>
        <w:t>Auditors dienen te voldoen aan de volgende competentie-eisen: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Eis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Verantwoording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Vakkennis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Minimaal 5 jaar ervaring in HSEQ/BRZO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NTA 8620 par. 9.4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Auditervaring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ISO 19011 training + 3 audits als observant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ISO 19011 par. 5.3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Onafhankelijkheid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Geen operationele verantwoordelijkheid voor geauditeerd element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ISO 19011 par. 5.2.3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Soft skills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Communicatie, conflicthantering, rapportage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ISO 19011 par. 5.3.3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Bij- en nascholing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Jaarlijks minimaal 16 uur relevante scholing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Branchestandaard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5. Audit Planning Matrix</w:t>
      </w:r>
    </w:p>
    <w:p>
      <w:r>
        <w:rPr>
          <w:rFonts w:ascii="Calibri" w:hAnsi="Calibri"/>
          <w:b w:val="0"/>
          <w:sz w:val="22"/>
        </w:rPr>
        <w:t>Onderstaande matrix toont de geplande audits per maand: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Maand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VBS Element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Scope</w:t>
            </w:r>
          </w:p>
        </w:tc>
        <w:tc>
          <w:tcPr>
            <w:tcW w:type="dxa" w:w="216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Auditor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Januari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 - Beleid &amp; Organisatie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Beleid, rollen, budget, MR verslag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A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Februari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II - Risico-identificatie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RI&amp;E, risicomatrix, HAZOP, MASC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B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Maart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III - Technische Maatregelen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CoW, LOTO, SCE, SIS, PSSR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A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April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IV - Operationele Controle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BNP, BHV, evacuatie, BCP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C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Mei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 - Management of Change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MoC procedure, register, drempelwaarden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B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Juni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 - Monitoring &amp; KPI's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KPI's, compliance register, zelfevaluatie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A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Juli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VII - Toezicht op Prestaties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 programma, CAPA, trendanalyse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C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Augustus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 - Beleid (vervolg)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Medezeggenschap, communicatie, cultuur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B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September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III - Technisch (vervolg)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Alarmen, start/shutdown, onderhoud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C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Oktober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IV - Operationeel (vervolg)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Oefening, omwonendencommunicatie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A</w:t>
            </w:r>
          </w:p>
        </w:tc>
      </w:tr>
      <w:tr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November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V + VI - Follow-up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Openstaande acties, MoC effectiviteit</w:t>
            </w:r>
          </w:p>
        </w:tc>
        <w:tc>
          <w:tcPr>
            <w:tcW w:type="dxa" w:w="2160"/>
          </w:tcPr>
          <w:p>
            <w:r>
              <w:rPr>
                <w:rFonts w:ascii="Calibri" w:hAnsi="Calibri"/>
                <w:sz w:val="20"/>
              </w:rPr>
              <w:t>Auditor B</w:t>
            </w:r>
          </w:p>
        </w:tc>
      </w:tr>
      <w:tr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December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VII - Jaarevaluatie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VBS zelfevaluatie, verbeterplan</w:t>
            </w:r>
          </w:p>
        </w:tc>
        <w:tc>
          <w:tcPr>
            <w:tcW w:type="dxa" w:w="2160"/>
            <w:shd w:fill="E8EEF4" w:val="clear"/>
          </w:tcPr>
          <w:p>
            <w:r>
              <w:rPr>
                <w:rFonts w:ascii="Calibri" w:hAnsi="Calibri"/>
                <w:sz w:val="20"/>
              </w:rPr>
              <w:t>Auditor C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6. Audit Uitvoering</w:t>
      </w:r>
    </w:p>
    <w:p>
      <w:r>
        <w:rPr>
          <w:rFonts w:ascii="Calibri" w:hAnsi="Calibri"/>
          <w:b w:val="0"/>
          <w:sz w:val="22"/>
        </w:rPr>
        <w:t>Elke audit doorloopt de volgende fasen:</w:t>
      </w:r>
    </w:p>
    <w:p>
      <w:r>
        <w:rPr>
          <w:rFonts w:ascii="Calibri" w:hAnsi="Calibri"/>
          <w:b w:val="0"/>
          <w:sz w:val="22"/>
        </w:rPr>
        <w:t>• Opening Meeting: Introductie, scope bevestigen, planning doorspreken, vertrouwelijkheid</w:t>
      </w:r>
    </w:p>
    <w:p>
      <w:r>
        <w:rPr>
          <w:rFonts w:ascii="Calibri" w:hAnsi="Calibri"/>
          <w:b w:val="0"/>
          <w:sz w:val="22"/>
        </w:rPr>
        <w:t>• Document Review: Beleid, procedures, registries, verslagen beoordelen tegen criteria</w:t>
      </w:r>
    </w:p>
    <w:p>
      <w:r>
        <w:rPr>
          <w:rFonts w:ascii="Calibri" w:hAnsi="Calibri"/>
          <w:b w:val="0"/>
          <w:sz w:val="22"/>
        </w:rPr>
        <w:t>• Interviews: Semi-gestructureerde gesprekken met operationeel en management personeel</w:t>
      </w:r>
    </w:p>
    <w:p>
      <w:r>
        <w:rPr>
          <w:rFonts w:ascii="Calibri" w:hAnsi="Calibri"/>
          <w:b w:val="0"/>
          <w:sz w:val="22"/>
        </w:rPr>
        <w:t>• Observatie: Werkplekinspectie, werkpraktijken observeren, fysieke staat beoordelen</w:t>
      </w:r>
    </w:p>
    <w:p>
      <w:r>
        <w:rPr>
          <w:rFonts w:ascii="Calibri" w:hAnsi="Calibri"/>
          <w:b w:val="0"/>
          <w:sz w:val="22"/>
        </w:rPr>
        <w:t>• Closing Meeting: Bevindingen presenteren, classificatie toelichten, tijdlijn follow-up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7. Bevindingen Classificatie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Termijn actie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Conform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Voldoet volledig aan de gestelde eisen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Geen actie vereist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Observatie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Opvallend maar niet-non-conform; verbetermogelijkheid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Facultatief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Minor NC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Gedeeltelijke afwijking; geïsoleerd incident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30 werkdagen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Major NC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Systematische afwijking of ontbreken systeemelement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14 werkdagen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Critical NC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Onmiddellijk risico op major incident; totale systeemfalen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7 werkdagen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  <w:sz w:val="28"/>
        </w:rPr>
        <w:t>8. Rapportage</w:t>
      </w:r>
    </w:p>
    <w:p>
      <w:r>
        <w:rPr>
          <w:rFonts w:ascii="Calibri" w:hAnsi="Calibri"/>
          <w:b w:val="0"/>
          <w:sz w:val="22"/>
        </w:rPr>
        <w:t>Het auditrapport wordt binnen 14 werkdagen na afsluiting van de audit opgesteld en gedistribueerd.</w:t>
      </w:r>
    </w:p>
    <w:p>
      <w:r>
        <w:rPr>
          <w:rFonts w:ascii="Calibri" w:hAnsi="Calibri"/>
          <w:b w:val="0"/>
          <w:sz w:val="22"/>
        </w:rPr>
        <w:t>Rapportstructuur: (1) Opdracht &amp; scope, (2) Audit team &amp; data, (3) Criteria &amp; methodiek, (4) Bevindingen per element, (5) Classificatie matrix, (6) Aanbevelingen, (7) Bijlagen (checklists, bewijs).</w:t>
      </w:r>
    </w:p>
    <w:p>
      <w:r>
        <w:rPr>
          <w:rFonts w:ascii="Calibri" w:hAnsi="Calibri"/>
          <w:b w:val="0"/>
          <w:sz w:val="22"/>
        </w:rPr>
        <w:t>Distributie: HSE Manager, Directie, Proceseigenaar geauditeerd element.</w:t>
      </w:r>
    </w:p>
    <w:p>
      <w:pPr>
        <w:pStyle w:val="Heading1"/>
      </w:pPr>
      <w:r>
        <w:rPr>
          <w:rFonts w:ascii="Calibri" w:hAnsi="Calibri"/>
          <w:color w:val="003366"/>
          <w:sz w:val="28"/>
        </w:rPr>
        <w:t>9. Follow-up &amp; Afsluiting</w:t>
      </w:r>
    </w:p>
    <w:p>
      <w:r>
        <w:rPr>
          <w:rFonts w:ascii="Calibri" w:hAnsi="Calibri"/>
          <w:b w:val="0"/>
          <w:sz w:val="22"/>
        </w:rPr>
        <w:t>Alle non-conformiteiten worden gekoppeld aan het CAPA register (PM_VBS06_06). De proceseigenaar is verantwoordelijk voor implementatie van corrigerende maatregelen binnen de gestelde termijn.</w:t>
      </w:r>
    </w:p>
    <w:p>
      <w:r>
        <w:rPr>
          <w:rFonts w:ascii="Calibri" w:hAnsi="Calibri"/>
          <w:b w:val="0"/>
          <w:sz w:val="22"/>
        </w:rPr>
        <w:t>De HSE Manager verifieert de effectiviteit van genomen maatregelen. Afsluiting vereist schriftelijke bevestiging door de auditor die de oorspronkelijke NC heeft vastgesteld.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Bronnenlijst</w:t>
      </w:r>
    </w:p>
    <w:p>
      <w:r>
        <w:rPr>
          <w:rFonts w:ascii="Calibri" w:hAnsi="Calibri"/>
          <w:b w:val="0"/>
          <w:sz w:val="20"/>
        </w:rPr>
        <w:t>[1] NTA 8620:2016 — Veiligheidsbeheerssysteem voor Seveso-inrichtingen</w:t>
      </w:r>
    </w:p>
    <w:p>
      <w:r>
        <w:rPr>
          <w:rFonts w:ascii="Calibri" w:hAnsi="Calibri"/>
          <w:b w:val="0"/>
          <w:sz w:val="20"/>
        </w:rPr>
        <w:t>[2] NEN-EN-ISO 19011:2018 — Richtlijnen voor het auditen van managementsystemen</w:t>
      </w:r>
    </w:p>
    <w:p>
      <w:r>
        <w:rPr>
          <w:rFonts w:ascii="Calibri" w:hAnsi="Calibri"/>
          <w:b w:val="0"/>
          <w:sz w:val="20"/>
        </w:rPr>
        <w:t>[3] BRZO 2015 (Besluit risico's zware ongevallen)</w:t>
      </w:r>
    </w:p>
    <w:p>
      <w:r>
        <w:rPr>
          <w:rFonts w:ascii="Calibri" w:hAnsi="Calibri"/>
          <w:b w:val="0"/>
          <w:sz w:val="20"/>
        </w:rPr>
        <w:t>[4] Seveso III Richtlijn 2012/18/EU</w:t>
      </w:r>
    </w:p>
    <w:p>
      <w:pPr>
        <w:pStyle w:val="Heading2"/>
      </w:pPr>
      <w:r>
        <w:rPr>
          <w:rFonts w:ascii="Calibri" w:hAnsi="Calibri"/>
          <w:color w:val="003366"/>
          <w:sz w:val="24"/>
        </w:rPr>
        <w:t>TierVerify Log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 w:val="clear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NTA 8620 par. 9.4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NEN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ISO 19011:2018 par. 5-7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NEN</w:t>
            </w:r>
          </w:p>
        </w:tc>
        <w:tc>
          <w:tcPr>
            <w:tcW w:type="dxa" w:w="2880"/>
            <w:shd w:fill="E8EEF4" w:val="clear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  <w:tr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BRZO 2015 Art. 5-6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Overheid.nl</w:t>
            </w:r>
          </w:p>
        </w:tc>
        <w:tc>
          <w:tcPr>
            <w:tcW w:type="dxa" w:w="2880"/>
          </w:tcPr>
          <w:p>
            <w:r>
              <w:rPr>
                <w:rFonts w:ascii="Calibri" w:hAnsi="Calibri"/>
                <w:sz w:val="20"/>
              </w:rPr>
              <w:t>✓ Geverifieerd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sz w:val="18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  <w:r>
      <w:drawing>
        <wp:inline xmlns:a="http://schemas.openxmlformats.org/drawingml/2006/main" xmlns:pic="http://schemas.openxmlformats.org/drawingml/2006/picture">
          <wp:extent cx="720000" cy="648000"/>
          <wp:docPr id="2" name="Picture 2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