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b/>
          <w:color w:val="003366"/>
          <w:sz w:val="56"/>
        </w:rPr>
        <w:t>PHOENIX METALS</w:t>
      </w:r>
    </w:p>
    <w:p>
      <w:pPr>
        <w:jc w:val="center"/>
      </w:pPr>
      <w:r>
        <w:rPr>
          <w:rFonts w:ascii="Calibri" w:hAnsi="Calibri"/>
          <w:color w:val="003366"/>
          <w:sz w:val="36"/>
        </w:rPr>
        <w:t>Veiligheidsbrondocument (VBS)</w:t>
      </w:r>
    </w:p>
    <w:p>
      <w:pPr>
        <w:jc w:val="center"/>
      </w:pPr>
      <w:r>
        <w:rPr>
          <w:rFonts w:ascii="Calibri" w:hAnsi="Calibri"/>
          <w:color w:val="003366"/>
          <w:sz w:val="32"/>
        </w:rPr>
        <w:t>Element VII: Toezicht op de Prestaties</w:t>
      </w:r>
    </w:p>
    <w:p/>
    <w:p>
      <w:pPr>
        <w:jc w:val="center"/>
      </w:pPr>
      <w:r>
        <w:rPr>
          <w:rFonts w:ascii="Calibri" w:hAnsi="Calibri"/>
          <w:b/>
          <w:color w:val="1F2937"/>
          <w:sz w:val="28"/>
        </w:rPr>
        <w:t>PM_VBS06_01 — Audit Beleid &amp; Kaderdocument</w:t>
      </w:r>
    </w:p>
    <w:p/>
    <w:p/>
    <w:p>
      <w:pPr>
        <w:jc w:val="center"/>
      </w:pPr>
      <w:r>
        <w:rPr>
          <w:rFonts w:ascii="Calibri" w:hAnsi="Calibri"/>
          <w:b/>
          <w:sz w:val="22"/>
        </w:rPr>
        <w:t xml:space="preserve">Project: </w:t>
      </w:r>
      <w:r>
        <w:rPr>
          <w:rFonts w:ascii="Calibri" w:hAnsi="Calibri"/>
          <w:sz w:val="22"/>
        </w:rPr>
        <w:t>Phoenix Metals VBS Element VII</w:t>
      </w:r>
    </w:p>
    <w:p>
      <w:pPr>
        <w:jc w:val="center"/>
      </w:pPr>
      <w:r>
        <w:rPr>
          <w:rFonts w:ascii="Calibri" w:hAnsi="Calibri"/>
          <w:b/>
          <w:sz w:val="22"/>
        </w:rPr>
        <w:t xml:space="preserve">Documenttype: </w:t>
      </w:r>
      <w:r>
        <w:rPr>
          <w:rFonts w:ascii="Calibri" w:hAnsi="Calibri"/>
          <w:sz w:val="22"/>
        </w:rPr>
        <w:t>Beleid- &amp; Kaderdocument</w:t>
      </w:r>
    </w:p>
    <w:p>
      <w:pPr>
        <w:jc w:val="center"/>
      </w:pPr>
      <w:r>
        <w:rPr>
          <w:rFonts w:ascii="Calibri" w:hAnsi="Calibri"/>
          <w:b/>
          <w:sz w:val="22"/>
        </w:rPr>
        <w:t xml:space="preserve">Auteur: </w:t>
      </w:r>
      <w:r>
        <w:rPr>
          <w:rFonts w:ascii="Calibri" w:hAnsi="Calibri"/>
          <w:sz w:val="22"/>
        </w:rPr>
        <w:t>JvG Consultancy</w:t>
      </w:r>
    </w:p>
    <w:p>
      <w:pPr>
        <w:jc w:val="center"/>
      </w:pPr>
      <w:r>
        <w:rPr>
          <w:rFonts w:ascii="Calibri" w:hAnsi="Calibri"/>
          <w:b/>
          <w:sz w:val="22"/>
        </w:rPr>
        <w:t xml:space="preserve">Versie: </w:t>
      </w:r>
      <w:r>
        <w:rPr>
          <w:rFonts w:ascii="Calibri" w:hAnsi="Calibri"/>
          <w:sz w:val="22"/>
        </w:rPr>
        <w:t>1.0</w:t>
      </w:r>
    </w:p>
    <w:p>
      <w:pPr>
        <w:jc w:val="center"/>
      </w:pPr>
      <w:r>
        <w:rPr>
          <w:rFonts w:ascii="Calibri" w:hAnsi="Calibri"/>
          <w:b/>
          <w:sz w:val="22"/>
        </w:rPr>
        <w:t xml:space="preserve">Datum: </w:t>
      </w:r>
      <w:r>
        <w:rPr>
          <w:rFonts w:ascii="Calibri" w:hAnsi="Calibri"/>
          <w:sz w:val="22"/>
        </w:rPr>
        <w:t>29 april 2026</w:t>
      </w:r>
    </w:p>
    <w:p>
      <w:pPr>
        <w:jc w:val="center"/>
      </w:pPr>
      <w:r>
        <w:rPr>
          <w:rFonts w:ascii="Calibri" w:hAnsi="Calibri"/>
          <w:b/>
          <w:sz w:val="22"/>
        </w:rPr>
        <w:t xml:space="preserve">Status: </w:t>
      </w:r>
      <w:r>
        <w:rPr>
          <w:rFonts w:ascii="Calibri" w:hAnsi="Calibri"/>
          <w:sz w:val="22"/>
        </w:rPr>
        <w:t>DEFINITIEF</w:t>
      </w:r>
    </w:p>
    <w:p>
      <w:pPr>
        <w:jc w:val="center"/>
      </w:pPr>
      <w:r>
        <w:rPr>
          <w:rFonts w:ascii="Calibri" w:hAnsi="Calibri"/>
          <w:b/>
          <w:sz w:val="22"/>
        </w:rPr>
        <w:t xml:space="preserve">Classificatie: </w:t>
      </w:r>
      <w:r>
        <w:rPr>
          <w:rFonts w:ascii="Calibri" w:hAnsi="Calibri"/>
          <w:sz w:val="22"/>
        </w:rPr>
        <w:t>Vertrouwelijk — Intern</w:t>
      </w:r>
    </w:p>
    <w:p>
      <w:r>
        <w:br w:type="page"/>
      </w:r>
    </w:p>
    <w:p>
      <w:pPr>
        <w:pStyle w:val="Heading1"/>
      </w:pPr>
      <w:r>
        <w:rPr>
          <w:color w:val="003366"/>
        </w:rPr>
        <w:t>Documentbeheersing</w:t>
      </w:r>
    </w:p>
    <w:p>
      <w:pPr>
        <w:pStyle w:val="Heading2"/>
      </w:pPr>
      <w:r>
        <w:rPr>
          <w:color w:val="003366"/>
        </w:rPr>
        <w:t>Versiebeheer</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134"/>
            <w:shd w:fill="003366" w:val="clear"/>
          </w:tcPr>
          <w:p>
            <w:pPr>
              <w:jc w:val="center"/>
            </w:pPr>
            <w:r/>
            <w:r>
              <w:rPr>
                <w:rFonts w:ascii="Calibri" w:hAnsi="Calibri"/>
                <w:b/>
                <w:color w:val="FFFFFF"/>
                <w:sz w:val="20"/>
              </w:rPr>
              <w:t>Versie</w:t>
            </w:r>
          </w:p>
        </w:tc>
        <w:tc>
          <w:tcPr>
            <w:tcW w:type="dxa" w:w="1417"/>
            <w:shd w:fill="003366" w:val="clear"/>
          </w:tcPr>
          <w:p>
            <w:pPr>
              <w:jc w:val="center"/>
            </w:pPr>
            <w:r/>
            <w:r>
              <w:rPr>
                <w:rFonts w:ascii="Calibri" w:hAnsi="Calibri"/>
                <w:b/>
                <w:color w:val="FFFFFF"/>
                <w:sz w:val="20"/>
              </w:rPr>
              <w:t>Datum</w:t>
            </w:r>
          </w:p>
        </w:tc>
        <w:tc>
          <w:tcPr>
            <w:tcW w:type="dxa" w:w="1984"/>
            <w:shd w:fill="003366" w:val="clear"/>
          </w:tcPr>
          <w:p>
            <w:pPr>
              <w:jc w:val="center"/>
            </w:pPr>
            <w:r/>
            <w:r>
              <w:rPr>
                <w:rFonts w:ascii="Calibri" w:hAnsi="Calibri"/>
                <w:b/>
                <w:color w:val="FFFFFF"/>
                <w:sz w:val="20"/>
              </w:rPr>
              <w:t>Auteur</w:t>
            </w:r>
          </w:p>
        </w:tc>
        <w:tc>
          <w:tcPr>
            <w:tcW w:type="dxa" w:w="2551"/>
            <w:shd w:fill="003366" w:val="clear"/>
          </w:tcPr>
          <w:p>
            <w:pPr>
              <w:jc w:val="center"/>
            </w:pPr>
            <w:r/>
            <w:r>
              <w:rPr>
                <w:rFonts w:ascii="Calibri" w:hAnsi="Calibri"/>
                <w:b/>
                <w:color w:val="FFFFFF"/>
                <w:sz w:val="20"/>
              </w:rPr>
              <w:t>Wijziging</w:t>
            </w:r>
          </w:p>
        </w:tc>
        <w:tc>
          <w:tcPr>
            <w:tcW w:type="dxa" w:w="1701"/>
            <w:shd w:fill="003366" w:val="clear"/>
          </w:tcPr>
          <w:p>
            <w:pPr>
              <w:jc w:val="center"/>
            </w:pPr>
            <w:r/>
            <w:r>
              <w:rPr>
                <w:rFonts w:ascii="Calibri" w:hAnsi="Calibri"/>
                <w:b/>
                <w:color w:val="FFFFFF"/>
                <w:sz w:val="20"/>
              </w:rPr>
              <w:t>Goedkeuring</w:t>
            </w:r>
          </w:p>
        </w:tc>
      </w:tr>
      <w:tr>
        <w:tc>
          <w:tcPr>
            <w:tcW w:type="dxa" w:w="1134"/>
          </w:tcPr>
          <w:p>
            <w:r/>
            <w:r>
              <w:rPr>
                <w:rFonts w:ascii="Calibri" w:hAnsi="Calibri"/>
                <w:sz w:val="20"/>
              </w:rPr>
              <w:t>0.1</w:t>
            </w:r>
          </w:p>
        </w:tc>
        <w:tc>
          <w:tcPr>
            <w:tcW w:type="dxa" w:w="1417"/>
          </w:tcPr>
          <w:p>
            <w:r/>
            <w:r>
              <w:rPr>
                <w:rFonts w:ascii="Calibri" w:hAnsi="Calibri"/>
                <w:sz w:val="20"/>
              </w:rPr>
              <w:t>15-04-2026</w:t>
            </w:r>
          </w:p>
        </w:tc>
        <w:tc>
          <w:tcPr>
            <w:tcW w:type="dxa" w:w="1984"/>
          </w:tcPr>
          <w:p>
            <w:r/>
            <w:r>
              <w:rPr>
                <w:rFonts w:ascii="Calibri" w:hAnsi="Calibri"/>
                <w:sz w:val="20"/>
              </w:rPr>
              <w:t>JvG Consultancy</w:t>
            </w:r>
          </w:p>
        </w:tc>
        <w:tc>
          <w:tcPr>
            <w:tcW w:type="dxa" w:w="2551"/>
          </w:tcPr>
          <w:p>
            <w:r/>
            <w:r>
              <w:rPr>
                <w:rFonts w:ascii="Calibri" w:hAnsi="Calibri"/>
                <w:sz w:val="20"/>
              </w:rPr>
              <w:t>Concept opgesteld</w:t>
            </w:r>
          </w:p>
        </w:tc>
        <w:tc>
          <w:tcPr>
            <w:tcW w:type="dxa" w:w="1701"/>
          </w:tcPr>
          <w:p>
            <w:r/>
            <w:r>
              <w:rPr>
                <w:rFonts w:ascii="Calibri" w:hAnsi="Calibri"/>
                <w:sz w:val="20"/>
              </w:rPr>
              <w:t>—</w:t>
            </w:r>
          </w:p>
        </w:tc>
      </w:tr>
      <w:tr>
        <w:tc>
          <w:tcPr>
            <w:tcW w:type="dxa" w:w="1134"/>
            <w:shd w:fill="F8F9FA" w:val="clear"/>
          </w:tcPr>
          <w:p>
            <w:r/>
            <w:r>
              <w:rPr>
                <w:rFonts w:ascii="Calibri" w:hAnsi="Calibri"/>
                <w:sz w:val="20"/>
              </w:rPr>
              <w:t>0.9</w:t>
            </w:r>
          </w:p>
        </w:tc>
        <w:tc>
          <w:tcPr>
            <w:tcW w:type="dxa" w:w="1417"/>
            <w:shd w:fill="F8F9FA" w:val="clear"/>
          </w:tcPr>
          <w:p>
            <w:r/>
            <w:r>
              <w:rPr>
                <w:rFonts w:ascii="Calibri" w:hAnsi="Calibri"/>
                <w:sz w:val="20"/>
              </w:rPr>
              <w:t>22-04-2026</w:t>
            </w:r>
          </w:p>
        </w:tc>
        <w:tc>
          <w:tcPr>
            <w:tcW w:type="dxa" w:w="1984"/>
            <w:shd w:fill="F8F9FA" w:val="clear"/>
          </w:tcPr>
          <w:p>
            <w:r/>
            <w:r>
              <w:rPr>
                <w:rFonts w:ascii="Calibri" w:hAnsi="Calibri"/>
                <w:sz w:val="20"/>
              </w:rPr>
              <w:t>JvG Consultancy</w:t>
            </w:r>
          </w:p>
        </w:tc>
        <w:tc>
          <w:tcPr>
            <w:tcW w:type="dxa" w:w="2551"/>
            <w:shd w:fill="F8F9FA" w:val="clear"/>
          </w:tcPr>
          <w:p>
            <w:r/>
            <w:r>
              <w:rPr>
                <w:rFonts w:ascii="Calibri" w:hAnsi="Calibri"/>
                <w:sz w:val="20"/>
              </w:rPr>
              <w:t>Reviewronde 1 verwerkt</w:t>
            </w:r>
          </w:p>
        </w:tc>
        <w:tc>
          <w:tcPr>
            <w:tcW w:type="dxa" w:w="1701"/>
            <w:shd w:fill="F8F9FA" w:val="clear"/>
          </w:tcPr>
          <w:p>
            <w:r/>
            <w:r>
              <w:rPr>
                <w:rFonts w:ascii="Calibri" w:hAnsi="Calibri"/>
                <w:sz w:val="20"/>
              </w:rPr>
              <w:t>HSE Manager</w:t>
            </w:r>
          </w:p>
        </w:tc>
      </w:tr>
      <w:tr>
        <w:tc>
          <w:tcPr>
            <w:tcW w:type="dxa" w:w="1134"/>
          </w:tcPr>
          <w:p>
            <w:r/>
            <w:r>
              <w:rPr>
                <w:rFonts w:ascii="Calibri" w:hAnsi="Calibri"/>
                <w:sz w:val="20"/>
              </w:rPr>
              <w:t>1.0</w:t>
            </w:r>
          </w:p>
        </w:tc>
        <w:tc>
          <w:tcPr>
            <w:tcW w:type="dxa" w:w="1417"/>
          </w:tcPr>
          <w:p>
            <w:r/>
            <w:r>
              <w:rPr>
                <w:rFonts w:ascii="Calibri" w:hAnsi="Calibri"/>
                <w:sz w:val="20"/>
              </w:rPr>
              <w:t>29-04-2026</w:t>
            </w:r>
          </w:p>
        </w:tc>
        <w:tc>
          <w:tcPr>
            <w:tcW w:type="dxa" w:w="1984"/>
          </w:tcPr>
          <w:p>
            <w:r/>
            <w:r>
              <w:rPr>
                <w:rFonts w:ascii="Calibri" w:hAnsi="Calibri"/>
                <w:sz w:val="20"/>
              </w:rPr>
              <w:t>JvG Consultancy</w:t>
            </w:r>
          </w:p>
        </w:tc>
        <w:tc>
          <w:tcPr>
            <w:tcW w:type="dxa" w:w="2551"/>
          </w:tcPr>
          <w:p>
            <w:r/>
            <w:r>
              <w:rPr>
                <w:rFonts w:ascii="Calibri" w:hAnsi="Calibri"/>
                <w:sz w:val="20"/>
              </w:rPr>
              <w:t>Definitieve versie goedgekeurd</w:t>
            </w:r>
          </w:p>
        </w:tc>
        <w:tc>
          <w:tcPr>
            <w:tcW w:type="dxa" w:w="1701"/>
          </w:tcPr>
          <w:p>
            <w:r/>
            <w:r>
              <w:rPr>
                <w:rFonts w:ascii="Calibri" w:hAnsi="Calibri"/>
                <w:sz w:val="20"/>
              </w:rPr>
              <w:t>Directie</w:t>
            </w:r>
          </w:p>
        </w:tc>
      </w:tr>
    </w:tbl>
    <w:p/>
    <w:p>
      <w:pPr>
        <w:pStyle w:val="Heading2"/>
      </w:pPr>
      <w:r>
        <w:rPr>
          <w:color w:val="003366"/>
        </w:rPr>
        <w:t>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2268"/>
            <w:shd w:fill="003366" w:val="clear"/>
          </w:tcPr>
          <w:p>
            <w:pPr>
              <w:jc w:val="center"/>
            </w:pPr>
            <w:r/>
            <w:r>
              <w:rPr>
                <w:rFonts w:ascii="Calibri" w:hAnsi="Calibri"/>
                <w:b/>
                <w:color w:val="FFFFFF"/>
                <w:sz w:val="20"/>
              </w:rPr>
              <w:t>Functie</w:t>
            </w:r>
          </w:p>
        </w:tc>
        <w:tc>
          <w:tcPr>
            <w:tcW w:type="dxa" w:w="2835"/>
            <w:shd w:fill="003366" w:val="clear"/>
          </w:tcPr>
          <w:p>
            <w:pPr>
              <w:jc w:val="center"/>
            </w:pPr>
            <w:r/>
            <w:r>
              <w:rPr>
                <w:rFonts w:ascii="Calibri" w:hAnsi="Calibri"/>
                <w:b/>
                <w:color w:val="FFFFFF"/>
                <w:sz w:val="20"/>
              </w:rPr>
              <w:t>Naam</w:t>
            </w:r>
          </w:p>
        </w:tc>
        <w:tc>
          <w:tcPr>
            <w:tcW w:type="dxa" w:w="2268"/>
            <w:shd w:fill="003366" w:val="clear"/>
          </w:tcPr>
          <w:p>
            <w:pPr>
              <w:jc w:val="center"/>
            </w:pPr>
            <w:r/>
            <w:r>
              <w:rPr>
                <w:rFonts w:ascii="Calibri" w:hAnsi="Calibri"/>
                <w:b/>
                <w:color w:val="FFFFFF"/>
                <w:sz w:val="20"/>
              </w:rPr>
              <w:t>Type distributie</w:t>
            </w:r>
          </w:p>
        </w:tc>
      </w:tr>
      <w:tr>
        <w:tc>
          <w:tcPr>
            <w:tcW w:type="dxa" w:w="2268"/>
          </w:tcPr>
          <w:p>
            <w:r/>
            <w:r>
              <w:rPr>
                <w:rFonts w:ascii="Calibri" w:hAnsi="Calibri"/>
                <w:sz w:val="20"/>
              </w:rPr>
              <w:t>Directie</w:t>
            </w:r>
          </w:p>
        </w:tc>
        <w:tc>
          <w:tcPr>
            <w:tcW w:type="dxa" w:w="2835"/>
          </w:tcPr>
          <w:p>
            <w:r/>
            <w:r>
              <w:rPr>
                <w:rFonts w:ascii="Calibri" w:hAnsi="Calibri"/>
                <w:sz w:val="20"/>
              </w:rPr>
              <w:t>Directeur Phoenix Metals</w:t>
            </w:r>
          </w:p>
        </w:tc>
        <w:tc>
          <w:tcPr>
            <w:tcW w:type="dxa" w:w="2268"/>
          </w:tcPr>
          <w:p>
            <w:r/>
            <w:r>
              <w:rPr>
                <w:rFonts w:ascii="Calibri" w:hAnsi="Calibri"/>
                <w:sz w:val="20"/>
              </w:rPr>
              <w:t>Electronisch + Digitaal</w:t>
            </w:r>
          </w:p>
        </w:tc>
      </w:tr>
      <w:tr>
        <w:tc>
          <w:tcPr>
            <w:tcW w:type="dxa" w:w="2268"/>
            <w:shd w:fill="F8F9FA" w:val="clear"/>
          </w:tcPr>
          <w:p>
            <w:r/>
            <w:r>
              <w:rPr>
                <w:rFonts w:ascii="Calibri" w:hAnsi="Calibri"/>
                <w:sz w:val="20"/>
              </w:rPr>
              <w:t>HSE Manager</w:t>
            </w:r>
          </w:p>
        </w:tc>
        <w:tc>
          <w:tcPr>
            <w:tcW w:type="dxa" w:w="2835"/>
            <w:shd w:fill="F8F9FA" w:val="clear"/>
          </w:tcPr>
          <w:p>
            <w:r/>
            <w:r>
              <w:rPr>
                <w:rFonts w:ascii="Calibri" w:hAnsi="Calibri"/>
                <w:sz w:val="20"/>
              </w:rPr>
              <w:t>HSE Manager</w:t>
            </w:r>
          </w:p>
        </w:tc>
        <w:tc>
          <w:tcPr>
            <w:tcW w:type="dxa" w:w="2268"/>
            <w:shd w:fill="F8F9FA" w:val="clear"/>
          </w:tcPr>
          <w:p>
            <w:r/>
            <w:r>
              <w:rPr>
                <w:rFonts w:ascii="Calibri" w:hAnsi="Calibri"/>
                <w:sz w:val="20"/>
              </w:rPr>
              <w:t>Electronisch + Digitaal</w:t>
            </w:r>
          </w:p>
        </w:tc>
      </w:tr>
      <w:tr>
        <w:tc>
          <w:tcPr>
            <w:tcW w:type="dxa" w:w="2268"/>
          </w:tcPr>
          <w:p>
            <w:r/>
            <w:r>
              <w:rPr>
                <w:rFonts w:ascii="Calibri" w:hAnsi="Calibri"/>
                <w:sz w:val="20"/>
              </w:rPr>
              <w:t>Bedrijfsvoering</w:t>
            </w:r>
          </w:p>
        </w:tc>
        <w:tc>
          <w:tcPr>
            <w:tcW w:type="dxa" w:w="2835"/>
          </w:tcPr>
          <w:p>
            <w:r/>
            <w:r>
              <w:rPr>
                <w:rFonts w:ascii="Calibri" w:hAnsi="Calibri"/>
                <w:sz w:val="20"/>
              </w:rPr>
              <w:t>Operationeel Manager</w:t>
            </w:r>
          </w:p>
        </w:tc>
        <w:tc>
          <w:tcPr>
            <w:tcW w:type="dxa" w:w="2268"/>
          </w:tcPr>
          <w:p>
            <w:r/>
            <w:r>
              <w:rPr>
                <w:rFonts w:ascii="Calibri" w:hAnsi="Calibri"/>
                <w:sz w:val="20"/>
              </w:rPr>
              <w:t>Electronisch</w:t>
            </w:r>
          </w:p>
        </w:tc>
      </w:tr>
      <w:tr>
        <w:tc>
          <w:tcPr>
            <w:tcW w:type="dxa" w:w="2268"/>
            <w:shd w:fill="F8F9FA" w:val="clear"/>
          </w:tcPr>
          <w:p>
            <w:r/>
            <w:r>
              <w:rPr>
                <w:rFonts w:ascii="Calibri" w:hAnsi="Calibri"/>
                <w:sz w:val="20"/>
              </w:rPr>
              <w:t>Auditteam</w:t>
            </w:r>
          </w:p>
        </w:tc>
        <w:tc>
          <w:tcPr>
            <w:tcW w:type="dxa" w:w="2835"/>
            <w:shd w:fill="F8F9FA" w:val="clear"/>
          </w:tcPr>
          <w:p>
            <w:r/>
            <w:r>
              <w:rPr>
                <w:rFonts w:ascii="Calibri" w:hAnsi="Calibri"/>
                <w:sz w:val="20"/>
              </w:rPr>
              <w:t>Interne auditor(s)</w:t>
            </w:r>
          </w:p>
        </w:tc>
        <w:tc>
          <w:tcPr>
            <w:tcW w:type="dxa" w:w="2268"/>
            <w:shd w:fill="F8F9FA" w:val="clear"/>
          </w:tcPr>
          <w:p>
            <w:r/>
            <w:r>
              <w:rPr>
                <w:rFonts w:ascii="Calibri" w:hAnsi="Calibri"/>
                <w:sz w:val="20"/>
              </w:rPr>
              <w:t>Electronisch</w:t>
            </w:r>
          </w:p>
        </w:tc>
      </w:tr>
      <w:tr>
        <w:tc>
          <w:tcPr>
            <w:tcW w:type="dxa" w:w="2268"/>
          </w:tcPr>
          <w:p>
            <w:r/>
            <w:r>
              <w:rPr>
                <w:rFonts w:ascii="Calibri" w:hAnsi="Calibri"/>
                <w:sz w:val="20"/>
              </w:rPr>
              <w:t>Bevoegd Gezag</w:t>
            </w:r>
          </w:p>
        </w:tc>
        <w:tc>
          <w:tcPr>
            <w:tcW w:type="dxa" w:w="2835"/>
          </w:tcPr>
          <w:p>
            <w:r/>
            <w:r>
              <w:rPr>
                <w:rFonts w:ascii="Calibri" w:hAnsi="Calibri"/>
                <w:sz w:val="20"/>
              </w:rPr>
              <w:t>Inspectie SZW / DCMR</w:t>
            </w:r>
          </w:p>
        </w:tc>
        <w:tc>
          <w:tcPr>
            <w:tcW w:type="dxa" w:w="2268"/>
          </w:tcPr>
          <w:p>
            <w:r/>
            <w:r>
              <w:rPr>
                <w:rFonts w:ascii="Calibri" w:hAnsi="Calibri"/>
                <w:sz w:val="20"/>
              </w:rPr>
              <w:t>Op aanvraag</w:t>
            </w:r>
          </w:p>
        </w:tc>
      </w:tr>
    </w:tbl>
    <w:p>
      <w:r>
        <w:br w:type="page"/>
      </w:r>
    </w:p>
    <w:p>
      <w:pPr>
        <w:pStyle w:val="Heading1"/>
      </w:pPr>
      <w:r>
        <w:rPr>
          <w:color w:val="003366"/>
        </w:rPr>
        <w:t>Inhoudsopgave</w:t>
      </w:r>
    </w:p>
    <w:p>
      <w:pPr>
        <w:spacing w:after="80"/>
      </w:pPr>
      <w:r>
        <w:rPr>
          <w:sz w:val="22"/>
        </w:rPr>
        <w:t>1. Inleiding &amp; Doel</w:t>
      </w:r>
    </w:p>
    <w:p>
      <w:pPr>
        <w:spacing w:after="80"/>
      </w:pPr>
      <w:r>
        <w:rPr>
          <w:sz w:val="22"/>
        </w:rPr>
        <w:t>2. Wettelijk &amp; Normatief Kader</w:t>
      </w:r>
    </w:p>
    <w:p>
      <w:pPr>
        <w:spacing w:after="80"/>
      </w:pPr>
      <w:r>
        <w:rPr>
          <w:sz w:val="22"/>
        </w:rPr>
        <w:t>3. Definities &amp; Begrippenkader</w:t>
      </w:r>
    </w:p>
    <w:p>
      <w:pPr>
        <w:spacing w:after="80"/>
      </w:pPr>
      <w:r>
        <w:rPr>
          <w:sz w:val="22"/>
        </w:rPr>
        <w:t>4. Beleidsuitgangspunten</w:t>
      </w:r>
    </w:p>
    <w:p>
      <w:pPr>
        <w:spacing w:after="80"/>
      </w:pPr>
      <w:r>
        <w:rPr>
          <w:sz w:val="22"/>
        </w:rPr>
        <w:t>5. Scope &amp; Toepassingsgebied</w:t>
      </w:r>
    </w:p>
    <w:p>
      <w:pPr>
        <w:spacing w:after="80"/>
      </w:pPr>
      <w:r>
        <w:rPr>
          <w:sz w:val="22"/>
        </w:rPr>
        <w:t>6. Toezichtsinstrumenten</w:t>
      </w:r>
    </w:p>
    <w:p>
      <w:pPr>
        <w:spacing w:after="80"/>
      </w:pPr>
      <w:r>
        <w:rPr>
          <w:sz w:val="22"/>
        </w:rPr>
        <w:t>7. Relatie met andere VBS Elementen</w:t>
      </w:r>
    </w:p>
    <w:p>
      <w:pPr>
        <w:spacing w:after="80"/>
      </w:pPr>
      <w:r>
        <w:rPr>
          <w:sz w:val="22"/>
        </w:rPr>
        <w:t>8. Beleidsverantwoordelijkheden</w:t>
      </w:r>
    </w:p>
    <w:p>
      <w:pPr>
        <w:spacing w:after="80"/>
      </w:pPr>
      <w:r>
        <w:rPr>
          <w:sz w:val="22"/>
        </w:rPr>
        <w:t>Bronnenlijst</w:t>
      </w:r>
    </w:p>
    <w:p>
      <w:pPr>
        <w:spacing w:after="80"/>
      </w:pPr>
      <w:r>
        <w:rPr>
          <w:sz w:val="22"/>
        </w:rPr>
        <w:t>TierVerify Log</w:t>
      </w:r>
    </w:p>
    <w:p>
      <w:r>
        <w:br w:type="page"/>
      </w:r>
    </w:p>
    <w:p>
      <w:pPr>
        <w:pStyle w:val="Heading1"/>
      </w:pPr>
      <w:r>
        <w:rPr>
          <w:color w:val="003366"/>
        </w:rPr>
        <w:t>1. Inleiding &amp; Doel</w:t>
      </w:r>
    </w:p>
    <w:p>
      <w:pPr>
        <w:pStyle w:val="Heading2"/>
      </w:pPr>
      <w:r>
        <w:rPr>
          <w:color w:val="003366"/>
        </w:rPr>
        <w:t>1.1 Achtergrond</w:t>
      </w:r>
    </w:p>
    <w:p>
      <w:r>
        <w:t>Dit document vormt het beleids- en kaderdocument voor Element VII van het Veiligheidsbrondocument (VBS) van Phoenix Metals: Toezicht op de Prestaties. Het definieert het auditbeleid, de toezichtsinstrumenten en de evaluatiemechanismen die borgen dat het gehele VBS effectief functioneert en continu verbetert.</w:t>
      </w:r>
    </w:p>
    <w:p>
      <w:r>
        <w:t>De Seveso III-richtlijn (2012/18/EU) vereist in artikel 12, eerste lid, onderdeel (g) dat de exploitant van een BRZO-inrichting een systeem heeft voor toezicht op de prestaties van het veiligheidsbeleid [1]. Het BRZO 1999 (Besluit risico's zware ongevallen) verwoordt deze eis in kolom VII van het Veiligheidsbrondocument: de exploitant moet aantonen dat systematisch toezicht wordt uitgeoefend op de implementatie en effectiviteit van alle zeven VBS-elementen [2].</w:t>
      </w:r>
    </w:p>
    <w:p>
      <w:pPr>
        <w:pStyle w:val="Heading2"/>
      </w:pPr>
      <w:r>
        <w:rPr>
          <w:color w:val="003366"/>
        </w:rPr>
        <w:t>1.2 Relatie met andere VBS-elementen</w:t>
      </w:r>
    </w:p>
    <w:p>
      <w:r>
        <w:t>Element VII neemt een bijzondere positie in binnen het VBS. Waar Elementen I t/m VI het operationele veiligheidsbeleid vormen (preventie, gevarenidentificatie, exploitatiecontrole, noodplanning, wijzigingenbeheer en marktmonitoring), fungeert Element VII als het CONTROLE-element dat alle andere elementen monitort, auditeert en evalueert. De datastroom is bidirectioneel:</w:t>
      </w:r>
    </w:p>
    <w:p>
      <w:pPr>
        <w:pStyle w:val="ListBullet"/>
      </w:pPr>
      <w:r>
        <w:rPr>
          <w:sz w:val="22"/>
        </w:rPr>
        <w:t>Elementen I–VI leveren prestatiedata en -indicatoren aan Element VII (input).</w:t>
      </w:r>
    </w:p>
    <w:p>
      <w:pPr>
        <w:pStyle w:val="ListBullet"/>
      </w:pPr>
      <w:r>
        <w:rPr>
          <w:sz w:val="22"/>
        </w:rPr>
        <w:t>Element VII analyseert deze data en retourneert bevindingen, aanbevelingen en verbeteracties (output).</w:t>
      </w:r>
    </w:p>
    <w:p>
      <w:pPr>
        <w:pStyle w:val="ListBullet"/>
      </w:pPr>
      <w:r>
        <w:rPr>
          <w:sz w:val="22"/>
        </w:rPr>
        <w:t>De Management Review (jaarlijks) integreert alle bevindingen tot strategische besluitvorming.</w:t>
      </w:r>
    </w:p>
    <w:p>
      <w:pPr>
        <w:pStyle w:val="Heading2"/>
      </w:pPr>
      <w:r>
        <w:rPr>
          <w:color w:val="003366"/>
        </w:rPr>
        <w:t>1.3 Doelstelling</w:t>
      </w:r>
    </w:p>
    <w:p>
      <w:r>
        <w:t>Het doel van dit beleidsdocument is het vastleggen van:</w:t>
      </w:r>
    </w:p>
    <w:p>
      <w:pPr>
        <w:pStyle w:val="ListBullet"/>
      </w:pPr>
      <w:r>
        <w:rPr>
          <w:sz w:val="22"/>
        </w:rPr>
        <w:t>Het wettelijk en normatief kader voor toezicht op de prestaties.</w:t>
      </w:r>
    </w:p>
    <w:p>
      <w:pPr>
        <w:pStyle w:val="ListBullet"/>
      </w:pPr>
      <w:r>
        <w:rPr>
          <w:sz w:val="22"/>
        </w:rPr>
        <w:t>De definities en begrippen die binnen dit kader gelden.</w:t>
      </w:r>
    </w:p>
    <w:p>
      <w:pPr>
        <w:pStyle w:val="ListBullet"/>
      </w:pPr>
      <w:r>
        <w:rPr>
          <w:sz w:val="22"/>
        </w:rPr>
        <w:t>De beleidsuitgangspunten die richting geven aan de audit- en toezichtactiviteiten.</w:t>
      </w:r>
    </w:p>
    <w:p>
      <w:pPr>
        <w:pStyle w:val="ListBullet"/>
      </w:pPr>
      <w:r>
        <w:rPr>
          <w:sz w:val="22"/>
        </w:rPr>
        <w:t>De scope en het toepassingsgebied van het toezicht.</w:t>
      </w:r>
    </w:p>
    <w:p>
      <w:pPr>
        <w:pStyle w:val="ListBullet"/>
      </w:pPr>
      <w:r>
        <w:rPr>
          <w:sz w:val="22"/>
        </w:rPr>
        <w:t>De instrumenten die worden ingezet voor monitoring, audit en evaluatie.</w:t>
      </w:r>
    </w:p>
    <w:p>
      <w:pPr>
        <w:pStyle w:val="ListBullet"/>
      </w:pPr>
      <w:r>
        <w:rPr>
          <w:sz w:val="22"/>
        </w:rPr>
        <w:t>De interactie met andere VBS-elementen via een gestructureerde matrix.</w:t>
      </w:r>
    </w:p>
    <w:p>
      <w:pPr>
        <w:pStyle w:val="ListBullet"/>
      </w:pPr>
      <w:r>
        <w:rPr>
          <w:sz w:val="22"/>
        </w:rPr>
        <w:t>De verantwoordelijkheden en bevoegdheden van alle betrokken rollen.</w:t>
      </w:r>
    </w:p>
    <w:p>
      <w:r>
        <w:br w:type="page"/>
      </w:r>
    </w:p>
    <w:p>
      <w:pPr>
        <w:pStyle w:val="Heading1"/>
      </w:pPr>
      <w:r>
        <w:rPr>
          <w:color w:val="003366"/>
        </w:rPr>
        <w:t>2. Wettelijk &amp; Normatief Kader</w:t>
      </w:r>
    </w:p>
    <w:p>
      <w:pPr>
        <w:pStyle w:val="Heading2"/>
      </w:pPr>
      <w:r>
        <w:rPr>
          <w:color w:val="003366"/>
        </w:rPr>
        <w:t>2.1 Seveso III-richtlijn (2012/18/EU)</w:t>
      </w:r>
    </w:p>
    <w:p>
      <w:r>
        <w:t>Artikel 12, eerste lid, onderdeel (g) van de Seveso III-richtlijn vereist dat de exploitant aantoont dat een systeem is ingesteld voor toezicht op de prestaties van het gevoerde veiligheidsbeleid. Dit omvat het systematisch meten, evalueren en waar nodig bijsturen van alle preventie- en bestrijdingsmaatregelen [1].</w:t>
      </w:r>
    </w:p>
    <w:p>
      <w:pPr>
        <w:pStyle w:val="Heading2"/>
      </w:pPr>
      <w:r>
        <w:rPr>
          <w:color w:val="003366"/>
        </w:rPr>
        <w:t>2.2 BRZO 1999</w:t>
      </w:r>
    </w:p>
    <w:p>
      <w:r>
        <w:t>Het Besluit risico's zware ongevallen (BRZO 1999, laatstelijk gewijzigd in 2015) implementeert de Seveso III-richtlijn in Nederlandse wetgeving. Kolom VII van het VBS vereist dat de exploitant systematisch toezicht uitoefent op de prestaties van het veiligheidsbeleid, waaronder:</w:t>
      </w:r>
    </w:p>
    <w:p>
      <w:pPr>
        <w:pStyle w:val="ListBullet"/>
      </w:pPr>
      <w:r>
        <w:rPr>
          <w:sz w:val="22"/>
        </w:rPr>
        <w:t>Periodieke evaluatie van het veiligheidsbeleid en de veiligheidsdoelstellingen.</w:t>
      </w:r>
    </w:p>
    <w:p>
      <w:pPr>
        <w:pStyle w:val="ListBullet"/>
      </w:pPr>
      <w:r>
        <w:rPr>
          <w:sz w:val="22"/>
        </w:rPr>
        <w:t>Interne audits van het veiligheidsmanagementsysteem.</w:t>
      </w:r>
    </w:p>
    <w:p>
      <w:pPr>
        <w:pStyle w:val="ListBullet"/>
      </w:pPr>
      <w:r>
        <w:rPr>
          <w:sz w:val="22"/>
        </w:rPr>
        <w:t>Monitoring van operationele prestaties via KPI's en leading/lagging indicatoren.</w:t>
      </w:r>
    </w:p>
    <w:p>
      <w:pPr>
        <w:pStyle w:val="ListBullet"/>
      </w:pPr>
      <w:r>
        <w:rPr>
          <w:sz w:val="22"/>
        </w:rPr>
        <w:t>Opvolging en afsluiting van bevindingen uit audits, inspecties en incidenten.</w:t>
      </w:r>
    </w:p>
    <w:p>
      <w:pPr>
        <w:pStyle w:val="ListBullet"/>
      </w:pPr>
      <w:r>
        <w:rPr>
          <w:sz w:val="22"/>
        </w:rPr>
        <w:t>Jaarlijkse Management Review ter evaluatie van het gehele VBS.</w:t>
      </w:r>
    </w:p>
    <w:p>
      <w:pPr>
        <w:pStyle w:val="Heading2"/>
      </w:pPr>
      <w:r>
        <w:rPr>
          <w:color w:val="003366"/>
        </w:rPr>
        <w:t>2.3 NTA 8620</w:t>
      </w:r>
    </w:p>
    <w:p>
      <w:r>
        <w:t>De Nederlandse Technische Afspraak NTA 8620 ('Veiligheidsbrondocument — Richtlijn voor het opstellen van een veiligheidsbrondocument') geeft in paragraaf 9 richtlijnen voor 'Toezicht op de prestaties'. De NTA 8620 specificeert dat toezicht moet bestaan uit een combinatie van interne audits, operationele inspecties, prestatie-indicatoren en management reviews [3].</w:t>
      </w:r>
    </w:p>
    <w:p>
      <w:pPr>
        <w:pStyle w:val="Heading2"/>
      </w:pPr>
      <w:r>
        <w:rPr>
          <w:color w:val="003366"/>
        </w:rPr>
        <w:t>2.4 ISO 45001:2018 — Prestatiebeoordeling</w:t>
      </w:r>
    </w:p>
    <w:p>
      <w:r>
        <w:t>Hoofdstuk 9 van ISO 45001:2018 ('Occupational health and safety management systems — Requirements') bevat de eisen voor prestatiebeoordeling: monitoring, meting, analyse en evaluatie (§9.1), interne audit (§9.2) en management review (§9.3). Deze norm biedt het algemene kader voor het audit- en evaluatiebeleid [4].</w:t>
      </w:r>
    </w:p>
    <w:p>
      <w:pPr>
        <w:pStyle w:val="Heading2"/>
      </w:pPr>
      <w:r>
        <w:rPr>
          <w:color w:val="003366"/>
        </w:rPr>
        <w:t>2.5 ISO 14001:2015 — Milieuevaluatie</w:t>
      </w:r>
    </w:p>
    <w:p>
      <w:r>
        <w:t>Hoofdstuk 9 van ISO 14001:2015 ('Environmental management systems') bevat vergelijkbare eisen voor milieuprestatiebeoordeling, monitoring en evaluatie. Gezien de BRZO-verplichtingen rondom milieurisico's is aansluiting bij dit kader vereist [5].</w:t>
      </w:r>
    </w:p>
    <w:p>
      <w:pPr>
        <w:pStyle w:val="Heading2"/>
      </w:pPr>
      <w:r>
        <w:rPr>
          <w:color w:val="003366"/>
        </w:rPr>
        <w:t>2.6 ISO 19011:2018 — Auditrichtlijnen</w:t>
      </w:r>
    </w:p>
    <w:p>
      <w:r>
        <w:t>ISO 19011:2018 ('Guidelines for auditing management systems') biedt de methodologische kader voor het plannen, uitvoeren en rapporteren van audits. Dit omvat competentie-eisen voor auditors, auditprogramma's en het omgaan met bevindingen [6].</w:t>
      </w:r>
    </w:p>
    <w:p>
      <w:r>
        <w:br w:type="page"/>
      </w:r>
    </w:p>
    <w:p>
      <w:pPr>
        <w:pStyle w:val="Heading1"/>
      </w:pPr>
      <w:r>
        <w:rPr>
          <w:color w:val="003366"/>
        </w:rPr>
        <w:t>3. Definities &amp; Begrippenkader</w:t>
      </w:r>
    </w:p>
    <w:tbl>
      <w:tblPr>
        <w:tblStyle w:val="TableGrid"/>
        <w:tblW w:type="auto" w:w="0"/>
        <w:jc w:val="center"/>
        <w:tblLook w:firstColumn="1" w:firstRow="1" w:lastColumn="0" w:lastRow="0" w:noHBand="0" w:noVBand="1" w:val="04A0"/>
      </w:tblPr>
      <w:tblGrid>
        <w:gridCol w:w="4703"/>
        <w:gridCol w:w="4703"/>
      </w:tblGrid>
      <w:tr>
        <w:tc>
          <w:tcPr>
            <w:tcW w:type="dxa" w:w="2551"/>
            <w:shd w:fill="003366" w:val="clear"/>
          </w:tcPr>
          <w:p>
            <w:pPr>
              <w:jc w:val="center"/>
            </w:pPr>
            <w:r/>
            <w:r>
              <w:rPr>
                <w:rFonts w:ascii="Calibri" w:hAnsi="Calibri"/>
                <w:b/>
                <w:color w:val="FFFFFF"/>
                <w:sz w:val="20"/>
              </w:rPr>
              <w:t>Begrip</w:t>
            </w:r>
          </w:p>
        </w:tc>
        <w:tc>
          <w:tcPr>
            <w:tcW w:type="dxa" w:w="6803"/>
            <w:shd w:fill="003366" w:val="clear"/>
          </w:tcPr>
          <w:p>
            <w:pPr>
              <w:jc w:val="center"/>
            </w:pPr>
            <w:r/>
            <w:r>
              <w:rPr>
                <w:rFonts w:ascii="Calibri" w:hAnsi="Calibri"/>
                <w:b/>
                <w:color w:val="FFFFFF"/>
                <w:sz w:val="20"/>
              </w:rPr>
              <w:t>Definitie</w:t>
            </w:r>
          </w:p>
        </w:tc>
      </w:tr>
      <w:tr>
        <w:tc>
          <w:tcPr>
            <w:tcW w:type="dxa" w:w="2551"/>
          </w:tcPr>
          <w:p>
            <w:r/>
            <w:r>
              <w:rPr>
                <w:rFonts w:ascii="Calibri" w:hAnsi="Calibri"/>
                <w:sz w:val="20"/>
              </w:rPr>
              <w:t>Audit (intern)</w:t>
            </w:r>
          </w:p>
        </w:tc>
        <w:tc>
          <w:tcPr>
            <w:tcW w:type="dxa" w:w="6803"/>
          </w:tcPr>
          <w:p>
            <w:r/>
            <w:r>
              <w:rPr>
                <w:rFonts w:ascii="Calibri" w:hAnsi="Calibri"/>
                <w:sz w:val="20"/>
              </w:rPr>
              <w:t>Systematisch, onafhankelijk en gedocumenteerd onderzoek naar de mate van implementatie en effectiviteit van het VBS, uitgevoerd door of namens de organisatie zelf.</w:t>
            </w:r>
          </w:p>
        </w:tc>
      </w:tr>
      <w:tr>
        <w:tc>
          <w:tcPr>
            <w:tcW w:type="dxa" w:w="2551"/>
            <w:shd w:fill="F8F9FA" w:val="clear"/>
          </w:tcPr>
          <w:p>
            <w:r/>
            <w:r>
              <w:rPr>
                <w:rFonts w:ascii="Calibri" w:hAnsi="Calibri"/>
                <w:sz w:val="20"/>
              </w:rPr>
              <w:t>Audit (extern)</w:t>
            </w:r>
          </w:p>
        </w:tc>
        <w:tc>
          <w:tcPr>
            <w:tcW w:type="dxa" w:w="6803"/>
            <w:shd w:fill="F8F9FA" w:val="clear"/>
          </w:tcPr>
          <w:p>
            <w:r/>
            <w:r>
              <w:rPr>
                <w:rFonts w:ascii="Calibri" w:hAnsi="Calibri"/>
                <w:sz w:val="20"/>
              </w:rPr>
              <w:t>Audit uitgevoerd door een onafhankelijke derde partij, zoals het bevoegd gezag (Inspectie SZW, DCMR) of een certificerende instelling.</w:t>
            </w:r>
          </w:p>
        </w:tc>
      </w:tr>
      <w:tr>
        <w:tc>
          <w:tcPr>
            <w:tcW w:type="dxa" w:w="2551"/>
          </w:tcPr>
          <w:p>
            <w:r/>
            <w:r>
              <w:rPr>
                <w:rFonts w:ascii="Calibri" w:hAnsi="Calibri"/>
                <w:sz w:val="20"/>
              </w:rPr>
              <w:t>Compliance-audit</w:t>
            </w:r>
          </w:p>
        </w:tc>
        <w:tc>
          <w:tcPr>
            <w:tcW w:type="dxa" w:w="6803"/>
          </w:tcPr>
          <w:p>
            <w:r/>
            <w:r>
              <w:rPr>
                <w:rFonts w:ascii="Calibri" w:hAnsi="Calibri"/>
                <w:sz w:val="20"/>
              </w:rPr>
              <w:t>Audit gericht op het verifiëren van naleving van specifieke wettelijke en normatieve eisen.</w:t>
            </w:r>
          </w:p>
        </w:tc>
      </w:tr>
      <w:tr>
        <w:tc>
          <w:tcPr>
            <w:tcW w:type="dxa" w:w="2551"/>
            <w:shd w:fill="F8F9FA" w:val="clear"/>
          </w:tcPr>
          <w:p>
            <w:r/>
            <w:r>
              <w:rPr>
                <w:rFonts w:ascii="Calibri" w:hAnsi="Calibri"/>
                <w:sz w:val="20"/>
              </w:rPr>
              <w:t>Systeemaudit</w:t>
            </w:r>
          </w:p>
        </w:tc>
        <w:tc>
          <w:tcPr>
            <w:tcW w:type="dxa" w:w="6803"/>
            <w:shd w:fill="F8F9FA" w:val="clear"/>
          </w:tcPr>
          <w:p>
            <w:r/>
            <w:r>
              <w:rPr>
                <w:rFonts w:ascii="Calibri" w:hAnsi="Calibri"/>
                <w:sz w:val="20"/>
              </w:rPr>
              <w:t>Audit gericht op de effectiviteit van het gehele managementsysteem, inclusief interacties tussen elementen.</w:t>
            </w:r>
          </w:p>
        </w:tc>
      </w:tr>
      <w:tr>
        <w:tc>
          <w:tcPr>
            <w:tcW w:type="dxa" w:w="2551"/>
          </w:tcPr>
          <w:p>
            <w:r/>
            <w:r>
              <w:rPr>
                <w:rFonts w:ascii="Calibri" w:hAnsi="Calibri"/>
                <w:sz w:val="20"/>
              </w:rPr>
              <w:t>Inspectie</w:t>
            </w:r>
          </w:p>
        </w:tc>
        <w:tc>
          <w:tcPr>
            <w:tcW w:type="dxa" w:w="6803"/>
          </w:tcPr>
          <w:p>
            <w:r/>
            <w:r>
              <w:rPr>
                <w:rFonts w:ascii="Calibri" w:hAnsi="Calibri"/>
                <w:sz w:val="20"/>
              </w:rPr>
              <w:t>Gerichte, planmatige waarneming van fysieke toestanden, werkmethoden en procedures op de werkplek.</w:t>
            </w:r>
          </w:p>
        </w:tc>
      </w:tr>
      <w:tr>
        <w:tc>
          <w:tcPr>
            <w:tcW w:type="dxa" w:w="2551"/>
            <w:shd w:fill="F8F9FA" w:val="clear"/>
          </w:tcPr>
          <w:p>
            <w:r/>
            <w:r>
              <w:rPr>
                <w:rFonts w:ascii="Calibri" w:hAnsi="Calibri"/>
                <w:sz w:val="20"/>
              </w:rPr>
              <w:t>Monitoring</w:t>
            </w:r>
          </w:p>
        </w:tc>
        <w:tc>
          <w:tcPr>
            <w:tcW w:type="dxa" w:w="6803"/>
            <w:shd w:fill="F8F9FA" w:val="clear"/>
          </w:tcPr>
          <w:p>
            <w:r/>
            <w:r>
              <w:rPr>
                <w:rFonts w:ascii="Calibri" w:hAnsi="Calibri"/>
                <w:sz w:val="20"/>
              </w:rPr>
              <w:t>Continue of periodieke meting en observatie van prestatie-indicatoren om trends en afwijkingen te identificeren.</w:t>
            </w:r>
          </w:p>
        </w:tc>
      </w:tr>
      <w:tr>
        <w:tc>
          <w:tcPr>
            <w:tcW w:type="dxa" w:w="2551"/>
          </w:tcPr>
          <w:p>
            <w:r/>
            <w:r>
              <w:rPr>
                <w:rFonts w:ascii="Calibri" w:hAnsi="Calibri"/>
                <w:sz w:val="20"/>
              </w:rPr>
              <w:t>KPI (Key Performance Indicator)</w:t>
            </w:r>
          </w:p>
        </w:tc>
        <w:tc>
          <w:tcPr>
            <w:tcW w:type="dxa" w:w="6803"/>
          </w:tcPr>
          <w:p>
            <w:r/>
            <w:r>
              <w:rPr>
                <w:rFonts w:ascii="Calibri" w:hAnsi="Calibri"/>
                <w:sz w:val="20"/>
              </w:rPr>
              <w:t>Kwantificeerbare maatstaf die de mate van doelbereiking van het veiligheidsbeleid weergeeft.</w:t>
            </w:r>
          </w:p>
        </w:tc>
      </w:tr>
      <w:tr>
        <w:tc>
          <w:tcPr>
            <w:tcW w:type="dxa" w:w="2551"/>
            <w:shd w:fill="F8F9FA" w:val="clear"/>
          </w:tcPr>
          <w:p>
            <w:r/>
            <w:r>
              <w:rPr>
                <w:rFonts w:ascii="Calibri" w:hAnsi="Calibri"/>
                <w:sz w:val="20"/>
              </w:rPr>
              <w:t>CAPA (Corrective and Preventive Action)</w:t>
            </w:r>
          </w:p>
        </w:tc>
        <w:tc>
          <w:tcPr>
            <w:tcW w:type="dxa" w:w="6803"/>
            <w:shd w:fill="F8F9FA" w:val="clear"/>
          </w:tcPr>
          <w:p>
            <w:r/>
            <w:r>
              <w:rPr>
                <w:rFonts w:ascii="Calibri" w:hAnsi="Calibri"/>
                <w:sz w:val="20"/>
              </w:rPr>
              <w:t>Gestructureerde aanpak voor het corrigeren van geconstateerde non-conformiteiten en het voorkomen van herhaling.</w:t>
            </w:r>
          </w:p>
        </w:tc>
      </w:tr>
      <w:tr>
        <w:tc>
          <w:tcPr>
            <w:tcW w:type="dxa" w:w="2551"/>
          </w:tcPr>
          <w:p>
            <w:r/>
            <w:r>
              <w:rPr>
                <w:rFonts w:ascii="Calibri" w:hAnsi="Calibri"/>
                <w:sz w:val="20"/>
              </w:rPr>
              <w:t>Non-conformiteit (minor)</w:t>
            </w:r>
          </w:p>
        </w:tc>
        <w:tc>
          <w:tcPr>
            <w:tcW w:type="dxa" w:w="6803"/>
          </w:tcPr>
          <w:p>
            <w:r/>
            <w:r>
              <w:rPr>
                <w:rFonts w:ascii="Calibri" w:hAnsi="Calibri"/>
                <w:sz w:val="20"/>
              </w:rPr>
              <w:t>Enkele afwijking van het VBS die geen direct significant risico vormt, maar correctie vereist.</w:t>
            </w:r>
          </w:p>
        </w:tc>
      </w:tr>
      <w:tr>
        <w:tc>
          <w:tcPr>
            <w:tcW w:type="dxa" w:w="2551"/>
            <w:shd w:fill="F8F9FA" w:val="clear"/>
          </w:tcPr>
          <w:p>
            <w:r/>
            <w:r>
              <w:rPr>
                <w:rFonts w:ascii="Calibri" w:hAnsi="Calibri"/>
                <w:sz w:val="20"/>
              </w:rPr>
              <w:t>Non-conformiteit (major)</w:t>
            </w:r>
          </w:p>
        </w:tc>
        <w:tc>
          <w:tcPr>
            <w:tcW w:type="dxa" w:w="6803"/>
            <w:shd w:fill="F8F9FA" w:val="clear"/>
          </w:tcPr>
          <w:p>
            <w:r/>
            <w:r>
              <w:rPr>
                <w:rFonts w:ascii="Calibri" w:hAnsi="Calibri"/>
                <w:sz w:val="20"/>
              </w:rPr>
              <w:t>Systematische afwijking die de effectiviteit van een VBS-element aantast en die een significant risico kan opleveren.</w:t>
            </w:r>
          </w:p>
        </w:tc>
      </w:tr>
      <w:tr>
        <w:tc>
          <w:tcPr>
            <w:tcW w:type="dxa" w:w="2551"/>
          </w:tcPr>
          <w:p>
            <w:r/>
            <w:r>
              <w:rPr>
                <w:rFonts w:ascii="Calibri" w:hAnsi="Calibri"/>
                <w:sz w:val="20"/>
              </w:rPr>
              <w:t>Non-conformiteit (critical)</w:t>
            </w:r>
          </w:p>
        </w:tc>
        <w:tc>
          <w:tcPr>
            <w:tcW w:type="dxa" w:w="6803"/>
          </w:tcPr>
          <w:p>
            <w:r/>
            <w:r>
              <w:rPr>
                <w:rFonts w:ascii="Calibri" w:hAnsi="Calibri"/>
                <w:sz w:val="20"/>
              </w:rPr>
              <w:t>Afwijking die leidt tot een direct ernstig risico voor veiligheid, gezondheid of milieu; vereist onmiddellijke actie.</w:t>
            </w:r>
          </w:p>
        </w:tc>
      </w:tr>
      <w:tr>
        <w:tc>
          <w:tcPr>
            <w:tcW w:type="dxa" w:w="2551"/>
            <w:shd w:fill="F8F9FA" w:val="clear"/>
          </w:tcPr>
          <w:p>
            <w:r/>
            <w:r>
              <w:rPr>
                <w:rFonts w:ascii="Calibri" w:hAnsi="Calibri"/>
                <w:sz w:val="20"/>
              </w:rPr>
              <w:t>Zelfevaluatie</w:t>
            </w:r>
          </w:p>
        </w:tc>
        <w:tc>
          <w:tcPr>
            <w:tcW w:type="dxa" w:w="6803"/>
            <w:shd w:fill="F8F9FA" w:val="clear"/>
          </w:tcPr>
          <w:p>
            <w:r/>
            <w:r>
              <w:rPr>
                <w:rFonts w:ascii="Calibri" w:hAnsi="Calibri"/>
                <w:sz w:val="20"/>
              </w:rPr>
              <w:t>Door de organisatie zelf uitgevoerde beoordeling van de prestaties ten aanzien van vastgestelde criteria.</w:t>
            </w:r>
          </w:p>
        </w:tc>
      </w:tr>
      <w:tr>
        <w:tc>
          <w:tcPr>
            <w:tcW w:type="dxa" w:w="2551"/>
          </w:tcPr>
          <w:p>
            <w:r/>
            <w:r>
              <w:rPr>
                <w:rFonts w:ascii="Calibri" w:hAnsi="Calibri"/>
                <w:sz w:val="20"/>
              </w:rPr>
              <w:t>Bevoegd gezag toezicht</w:t>
            </w:r>
          </w:p>
        </w:tc>
        <w:tc>
          <w:tcPr>
            <w:tcW w:type="dxa" w:w="6803"/>
          </w:tcPr>
          <w:p>
            <w:r/>
            <w:r>
              <w:rPr>
                <w:rFonts w:ascii="Calibri" w:hAnsi="Calibri"/>
                <w:sz w:val="20"/>
              </w:rPr>
              <w:t>Toezicht uitgeoefend door de bevoegde overheidsinstanties (Inspectie SZW, Omgevingsdienst) krachtens de Wet algemene bepalingen omgevingsrecht en BRZO 1999.</w:t>
            </w:r>
          </w:p>
        </w:tc>
      </w:tr>
    </w:tbl>
    <w:p>
      <w:r>
        <w:br w:type="page"/>
      </w:r>
    </w:p>
    <w:p>
      <w:pPr>
        <w:pStyle w:val="Heading1"/>
      </w:pPr>
      <w:r>
        <w:rPr>
          <w:color w:val="003366"/>
        </w:rPr>
        <w:t>4. Beleidsuitgangspunten</w:t>
      </w:r>
    </w:p>
    <w:p>
      <w:pPr>
        <w:pStyle w:val="Heading2"/>
      </w:pPr>
      <w:r>
        <w:rPr>
          <w:color w:val="003366"/>
        </w:rPr>
        <w:t>Systematisch toezicht op alle VBS-elementen</w:t>
      </w:r>
    </w:p>
    <w:p>
      <w:r>
        <w:t>Phoenix Metals oefent systematisch toezicht uit op alle zeven VBS-elementen. Geen enkel element wordt uitgezonderd van monitoring, audit en evaluatie. Het toezicht is cyclisch, planmatig en gedocumenteerd.</w:t>
      </w:r>
    </w:p>
    <w:p>
      <w:pPr>
        <w:pStyle w:val="Heading2"/>
      </w:pPr>
      <w:r>
        <w:rPr>
          <w:color w:val="003366"/>
        </w:rPr>
        <w:t>Onafhankelijkheid auditor</w:t>
      </w:r>
    </w:p>
    <w:p>
      <w:r>
        <w:t>Interne audits worden uitgevoerd door auditors die onafhankelijk zijn van de te auditen afdeling of proces. De auditor mag geen directe verantwoordelijkheid hebben voor de activiteiten die worden geauditeerd. Externe audits waarborgen additionele objectiviteit.</w:t>
      </w:r>
    </w:p>
    <w:p>
      <w:pPr>
        <w:pStyle w:val="Heading2"/>
      </w:pPr>
      <w:r>
        <w:rPr>
          <w:color w:val="003366"/>
        </w:rPr>
        <w:t>Plan-Do-Check-Act cyclus (PDCA)</w:t>
      </w:r>
    </w:p>
    <w:p>
      <w:r>
        <w:t>Het toezichtssysteem volgt de PDCA-cyclus: Plan (auditplanning en -programma), Do (uitvoering audits en inspecties), Check (evaluatie bevindingen en KPI's), Act (verbeteracties en bijsturing). Deze cyclus is het fundamentele verbetermechanisme van het VBS.</w:t>
      </w:r>
    </w:p>
    <w:p>
      <w:pPr>
        <w:pStyle w:val="Heading2"/>
      </w:pPr>
      <w:r>
        <w:rPr>
          <w:color w:val="003366"/>
        </w:rPr>
        <w:t>Data-gedreven besluitvorming</w:t>
      </w:r>
    </w:p>
    <w:p>
      <w:r>
        <w:t>Alle beslissingen met betrekking tot veiligheidsprestaties zijn gebaseerd op objectieve data: KPI's, auditecthtieve, incidentdata, inspectieresultaten en trendanalyses. Subjectieve beoordeling wordt geminimaliseerd.</w:t>
      </w:r>
    </w:p>
    <w:p>
      <w:pPr>
        <w:pStyle w:val="Heading2"/>
      </w:pPr>
      <w:r>
        <w:rPr>
          <w:color w:val="003366"/>
        </w:rPr>
        <w:t>Transparantie en traceerbaarheid</w:t>
      </w:r>
    </w:p>
    <w:p>
      <w:r>
        <w:t>Alle toezichtactiviteiten en bevindingen worden gedocumenteerd en zijn traceerbaar. Auditrapporten, inspectierapporten en CAPA-registraties zijn toegankelijk voor geautoriseerde medewerkers en het bevoegd gezag.</w:t>
      </w:r>
    </w:p>
    <w:p>
      <w:pPr>
        <w:pStyle w:val="Heading2"/>
      </w:pPr>
      <w:r>
        <w:rPr>
          <w:color w:val="003366"/>
        </w:rPr>
        <w:t>Continue verbetering (Kaizen)</w:t>
      </w:r>
    </w:p>
    <w:p>
      <w:r>
        <w:t>Het toezichtssysteem is niet statisch maar evolueert continu. Bevindingen leiden tot verbeteracties, best practices worden gedeeld, en het auditprogramma wordt jaarlijks geëvalueerd en bijgesteld.</w:t>
      </w:r>
    </w:p>
    <w:p>
      <w:r>
        <w:br w:type="page"/>
      </w:r>
    </w:p>
    <w:p>
      <w:pPr>
        <w:pStyle w:val="Heading1"/>
      </w:pPr>
      <w:r>
        <w:rPr>
          <w:color w:val="003366"/>
        </w:rPr>
        <w:t>5. Scope &amp; Toepassingsgebied</w:t>
      </w:r>
    </w:p>
    <w:p>
      <w:pPr>
        <w:pStyle w:val="Heading2"/>
      </w:pPr>
      <w:r>
        <w:rPr>
          <w:color w:val="003366"/>
        </w:rPr>
        <w:t>5.1 Wat valt onder toezicht</w:t>
      </w:r>
    </w:p>
    <w:p>
      <w:r>
        <w:t>Het toezicht omvat alle zeven VBS-elementen van Phoenix Metals:</w:t>
      </w:r>
    </w:p>
    <w:p>
      <w:pPr>
        <w:pStyle w:val="ListBullet"/>
      </w:pPr>
      <w:r>
        <w:rPr>
          <w:sz w:val="22"/>
        </w:rPr>
        <w:t>Element I: Preventiebeleid en veiligheidsmanagement (inclusief medezeggenschap en training).</w:t>
      </w:r>
    </w:p>
    <w:p>
      <w:pPr>
        <w:pStyle w:val="ListBullet"/>
      </w:pPr>
      <w:r>
        <w:rPr>
          <w:sz w:val="22"/>
        </w:rPr>
        <w:t>Element II: Identificatie en evaluatie van gevaren (inclusief RI&amp;E, risicomatrix en MASC's).</w:t>
      </w:r>
    </w:p>
    <w:p>
      <w:pPr>
        <w:pStyle w:val="ListBullet"/>
      </w:pPr>
      <w:r>
        <w:rPr>
          <w:sz w:val="22"/>
        </w:rPr>
        <w:t>Element III: Exploitatiecontrole (inclusief CoW, SCE, LOTO, PSSR en onderhoudsregimes).</w:t>
      </w:r>
    </w:p>
    <w:p>
      <w:pPr>
        <w:pStyle w:val="ListBullet"/>
      </w:pPr>
      <w:r>
        <w:rPr>
          <w:sz w:val="22"/>
        </w:rPr>
        <w:t>Element IV: Noodplanning en -bestrijding (inclusief oefenprogramma, BHV en BCP).</w:t>
      </w:r>
    </w:p>
    <w:p>
      <w:pPr>
        <w:pStyle w:val="ListBullet"/>
      </w:pPr>
      <w:r>
        <w:rPr>
          <w:sz w:val="22"/>
        </w:rPr>
        <w:t>Element V: Wijzigingenbeheer (inclusief MoC-procedures en regulatory tracking).</w:t>
      </w:r>
    </w:p>
    <w:p>
      <w:pPr>
        <w:pStyle w:val="ListBullet"/>
      </w:pPr>
      <w:r>
        <w:rPr>
          <w:sz w:val="22"/>
        </w:rPr>
        <w:t>Element VI: Marktmonitoring en kennisopbouw (inclusief externe ontwikkelingen).</w:t>
      </w:r>
    </w:p>
    <w:p>
      <w:pPr>
        <w:pStyle w:val="ListBullet"/>
      </w:pPr>
      <w:r>
        <w:rPr>
          <w:sz w:val="22"/>
        </w:rPr>
        <w:t>Element VII: Toezicht op de prestaties (zelfevaluatie van het eigen toezichtssysteem).</w:t>
      </w:r>
    </w:p>
    <w:p>
      <w:pPr>
        <w:pStyle w:val="Heading2"/>
      </w:pPr>
      <w:r>
        <w:rPr>
          <w:color w:val="003366"/>
        </w:rPr>
        <w:t>5.2 Wat valt buiten scope</w:t>
      </w:r>
    </w:p>
    <w:p>
      <w:pPr>
        <w:pStyle w:val="ListBullet"/>
      </w:pPr>
      <w:r>
        <w:rPr>
          <w:sz w:val="22"/>
        </w:rPr>
        <w:t>Financiële audits (tenzij direct gerelateerd aan veiligheidsinvesteringen).</w:t>
      </w:r>
    </w:p>
    <w:p>
      <w:pPr>
        <w:pStyle w:val="ListBullet"/>
      </w:pPr>
      <w:r>
        <w:rPr>
          <w:sz w:val="22"/>
        </w:rPr>
        <w:t>Persoonlijke functioneringsgesprekken van medewerkers.</w:t>
      </w:r>
    </w:p>
    <w:p>
      <w:pPr>
        <w:pStyle w:val="ListBullet"/>
      </w:pPr>
      <w:r>
        <w:rPr>
          <w:sz w:val="22"/>
        </w:rPr>
        <w:t>Commerciële en contractuele audits van leveranciers (wel: leveranciersveiligheidsaudits).</w:t>
      </w:r>
    </w:p>
    <w:p>
      <w:pPr>
        <w:pStyle w:val="ListBullet"/>
      </w:pPr>
      <w:r>
        <w:rPr>
          <w:sz w:val="22"/>
        </w:rPr>
        <w:t>Productkwaliteitsaudits (tenzij veiligheidsrelevant).</w:t>
      </w:r>
    </w:p>
    <w:p>
      <w:pPr>
        <w:pStyle w:val="Heading2"/>
      </w:pPr>
      <w:r>
        <w:rPr>
          <w:color w:val="003366"/>
        </w:rPr>
        <w:t>5.3 Interne versus externe audits</w:t>
      </w:r>
    </w:p>
    <w:tbl>
      <w:tblPr>
        <w:tblStyle w:val="TableGrid"/>
        <w:tblW w:type="auto" w:w="0"/>
        <w:jc w:val="center"/>
        <w:tblLook w:firstColumn="1" w:firstRow="1" w:lastColumn="0" w:lastRow="0" w:noHBand="0" w:noVBand="1" w:val="04A0"/>
      </w:tblPr>
      <w:tblGrid>
        <w:gridCol w:w="3135"/>
        <w:gridCol w:w="3135"/>
        <w:gridCol w:w="3135"/>
      </w:tblGrid>
      <w:tr>
        <w:tc>
          <w:tcPr>
            <w:tcW w:type="dxa" w:w="1701"/>
            <w:shd w:fill="003366" w:val="clear"/>
          </w:tcPr>
          <w:p>
            <w:pPr>
              <w:jc w:val="center"/>
            </w:pPr>
            <w:r/>
            <w:r>
              <w:rPr>
                <w:rFonts w:ascii="Calibri" w:hAnsi="Calibri"/>
                <w:b/>
                <w:color w:val="FFFFFF"/>
                <w:sz w:val="20"/>
              </w:rPr>
              <w:t>Aspect</w:t>
            </w:r>
          </w:p>
        </w:tc>
        <w:tc>
          <w:tcPr>
            <w:tcW w:type="dxa" w:w="3402"/>
            <w:shd w:fill="003366" w:val="clear"/>
          </w:tcPr>
          <w:p>
            <w:pPr>
              <w:jc w:val="center"/>
            </w:pPr>
            <w:r/>
            <w:r>
              <w:rPr>
                <w:rFonts w:ascii="Calibri" w:hAnsi="Calibri"/>
                <w:b/>
                <w:color w:val="FFFFFF"/>
                <w:sz w:val="20"/>
              </w:rPr>
              <w:t>Interne audit</w:t>
            </w:r>
          </w:p>
        </w:tc>
        <w:tc>
          <w:tcPr>
            <w:tcW w:type="dxa" w:w="3685"/>
            <w:shd w:fill="003366" w:val="clear"/>
          </w:tcPr>
          <w:p>
            <w:pPr>
              <w:jc w:val="center"/>
            </w:pPr>
            <w:r/>
            <w:r>
              <w:rPr>
                <w:rFonts w:ascii="Calibri" w:hAnsi="Calibri"/>
                <w:b/>
                <w:color w:val="FFFFFF"/>
                <w:sz w:val="20"/>
              </w:rPr>
              <w:t>Externe audit</w:t>
            </w:r>
          </w:p>
        </w:tc>
      </w:tr>
      <w:tr>
        <w:tc>
          <w:tcPr>
            <w:tcW w:type="dxa" w:w="1701"/>
          </w:tcPr>
          <w:p>
            <w:r/>
            <w:r>
              <w:rPr>
                <w:rFonts w:ascii="Calibri" w:hAnsi="Calibri"/>
                <w:sz w:val="20"/>
              </w:rPr>
              <w:t>Initiatiefnemer</w:t>
            </w:r>
          </w:p>
        </w:tc>
        <w:tc>
          <w:tcPr>
            <w:tcW w:type="dxa" w:w="3402"/>
          </w:tcPr>
          <w:p>
            <w:r/>
            <w:r>
              <w:rPr>
                <w:rFonts w:ascii="Calibri" w:hAnsi="Calibri"/>
                <w:sz w:val="20"/>
              </w:rPr>
              <w:t>Phoenix Metals (HSE Manager)</w:t>
            </w:r>
          </w:p>
        </w:tc>
        <w:tc>
          <w:tcPr>
            <w:tcW w:type="dxa" w:w="3685"/>
          </w:tcPr>
          <w:p>
            <w:r/>
            <w:r>
              <w:rPr>
                <w:rFonts w:ascii="Calibri" w:hAnsi="Calibri"/>
                <w:sz w:val="20"/>
              </w:rPr>
              <w:t>Bevoegd gezag / certificerende instantie</w:t>
            </w:r>
          </w:p>
        </w:tc>
      </w:tr>
      <w:tr>
        <w:tc>
          <w:tcPr>
            <w:tcW w:type="dxa" w:w="1701"/>
            <w:shd w:fill="F8F9FA" w:val="clear"/>
          </w:tcPr>
          <w:p>
            <w:r/>
            <w:r>
              <w:rPr>
                <w:rFonts w:ascii="Calibri" w:hAnsi="Calibri"/>
                <w:sz w:val="20"/>
              </w:rPr>
              <w:t>Onafhankelijkheid</w:t>
            </w:r>
          </w:p>
        </w:tc>
        <w:tc>
          <w:tcPr>
            <w:tcW w:type="dxa" w:w="3402"/>
            <w:shd w:fill="F8F9FA" w:val="clear"/>
          </w:tcPr>
          <w:p>
            <w:r/>
            <w:r>
              <w:rPr>
                <w:rFonts w:ascii="Calibri" w:hAnsi="Calibri"/>
                <w:sz w:val="20"/>
              </w:rPr>
              <w:t>Intern, onafhankelijk van te auditen eenheid</w:t>
            </w:r>
          </w:p>
        </w:tc>
        <w:tc>
          <w:tcPr>
            <w:tcW w:type="dxa" w:w="3685"/>
            <w:shd w:fill="F8F9FA" w:val="clear"/>
          </w:tcPr>
          <w:p>
            <w:r/>
            <w:r>
              <w:rPr>
                <w:rFonts w:ascii="Calibri" w:hAnsi="Calibri"/>
                <w:sz w:val="20"/>
              </w:rPr>
              <w:t>Volledig extern en onafhankelijk</w:t>
            </w:r>
          </w:p>
        </w:tc>
      </w:tr>
      <w:tr>
        <w:tc>
          <w:tcPr>
            <w:tcW w:type="dxa" w:w="1701"/>
          </w:tcPr>
          <w:p>
            <w:r/>
            <w:r>
              <w:rPr>
                <w:rFonts w:ascii="Calibri" w:hAnsi="Calibri"/>
                <w:sz w:val="20"/>
              </w:rPr>
              <w:t>Frequentie</w:t>
            </w:r>
          </w:p>
        </w:tc>
        <w:tc>
          <w:tcPr>
            <w:tcW w:type="dxa" w:w="3402"/>
          </w:tcPr>
          <w:p>
            <w:r/>
            <w:r>
              <w:rPr>
                <w:rFonts w:ascii="Calibri" w:hAnsi="Calibri"/>
                <w:sz w:val="20"/>
              </w:rPr>
              <w:t>Jaarlijks cyclisch (alle elementen in 3 jaar)</w:t>
            </w:r>
          </w:p>
        </w:tc>
        <w:tc>
          <w:tcPr>
            <w:tcW w:type="dxa" w:w="3685"/>
          </w:tcPr>
          <w:p>
            <w:r/>
            <w:r>
              <w:rPr>
                <w:rFonts w:ascii="Calibri" w:hAnsi="Calibri"/>
                <w:sz w:val="20"/>
              </w:rPr>
              <w:t>2–5 jaarlijks (Inspectie SZW)</w:t>
            </w:r>
          </w:p>
        </w:tc>
      </w:tr>
      <w:tr>
        <w:tc>
          <w:tcPr>
            <w:tcW w:type="dxa" w:w="1701"/>
            <w:shd w:fill="F8F9FA" w:val="clear"/>
          </w:tcPr>
          <w:p>
            <w:r/>
            <w:r>
              <w:rPr>
                <w:rFonts w:ascii="Calibri" w:hAnsi="Calibri"/>
                <w:sz w:val="20"/>
              </w:rPr>
              <w:t>Doel</w:t>
            </w:r>
          </w:p>
        </w:tc>
        <w:tc>
          <w:tcPr>
            <w:tcW w:type="dxa" w:w="3402"/>
            <w:shd w:fill="F8F9FA" w:val="clear"/>
          </w:tcPr>
          <w:p>
            <w:r/>
            <w:r>
              <w:rPr>
                <w:rFonts w:ascii="Calibri" w:hAnsi="Calibri"/>
                <w:sz w:val="20"/>
              </w:rPr>
              <w:t>Effectiviteit VBS, compliance, verbetering</w:t>
            </w:r>
          </w:p>
        </w:tc>
        <w:tc>
          <w:tcPr>
            <w:tcW w:type="dxa" w:w="3685"/>
            <w:shd w:fill="F8F9FA" w:val="clear"/>
          </w:tcPr>
          <w:p>
            <w:r/>
            <w:r>
              <w:rPr>
                <w:rFonts w:ascii="Calibri" w:hAnsi="Calibri"/>
                <w:sz w:val="20"/>
              </w:rPr>
              <w:t>Handhaving, certificering, toezicht</w:t>
            </w:r>
          </w:p>
        </w:tc>
      </w:tr>
      <w:tr>
        <w:tc>
          <w:tcPr>
            <w:tcW w:type="dxa" w:w="1701"/>
          </w:tcPr>
          <w:p>
            <w:r/>
            <w:r>
              <w:rPr>
                <w:rFonts w:ascii="Calibri" w:hAnsi="Calibri"/>
                <w:sz w:val="20"/>
              </w:rPr>
              <w:t>Rapportage</w:t>
            </w:r>
          </w:p>
        </w:tc>
        <w:tc>
          <w:tcPr>
            <w:tcW w:type="dxa" w:w="3402"/>
          </w:tcPr>
          <w:p>
            <w:r/>
            <w:r>
              <w:rPr>
                <w:rFonts w:ascii="Calibri" w:hAnsi="Calibri"/>
                <w:sz w:val="20"/>
              </w:rPr>
              <w:t>Intern auditrapport → Directie</w:t>
            </w:r>
          </w:p>
        </w:tc>
        <w:tc>
          <w:tcPr>
            <w:tcW w:type="dxa" w:w="3685"/>
          </w:tcPr>
          <w:p>
            <w:r/>
            <w:r>
              <w:rPr>
                <w:rFonts w:ascii="Calibri" w:hAnsi="Calibri"/>
                <w:sz w:val="20"/>
              </w:rPr>
              <w:t>Officieel rapport → Directie + Bevoegd gezag</w:t>
            </w:r>
          </w:p>
        </w:tc>
      </w:tr>
      <w:tr>
        <w:tc>
          <w:tcPr>
            <w:tcW w:type="dxa" w:w="1701"/>
            <w:shd w:fill="F8F9FA" w:val="clear"/>
          </w:tcPr>
          <w:p>
            <w:r/>
            <w:r>
              <w:rPr>
                <w:rFonts w:ascii="Calibri" w:hAnsi="Calibri"/>
                <w:sz w:val="20"/>
              </w:rPr>
              <w:t>Vervolgacties</w:t>
            </w:r>
          </w:p>
        </w:tc>
        <w:tc>
          <w:tcPr>
            <w:tcW w:type="dxa" w:w="3402"/>
            <w:shd w:fill="F8F9FA" w:val="clear"/>
          </w:tcPr>
          <w:p>
            <w:r/>
            <w:r>
              <w:rPr>
                <w:rFonts w:ascii="Calibri" w:hAnsi="Calibri"/>
                <w:sz w:val="20"/>
              </w:rPr>
              <w:t>CAPA via intern traject</w:t>
            </w:r>
          </w:p>
        </w:tc>
        <w:tc>
          <w:tcPr>
            <w:tcW w:type="dxa" w:w="3685"/>
            <w:shd w:fill="F8F9FA" w:val="clear"/>
          </w:tcPr>
          <w:p>
            <w:r/>
            <w:r>
              <w:rPr>
                <w:rFonts w:ascii="Calibri" w:hAnsi="Calibri"/>
                <w:sz w:val="20"/>
              </w:rPr>
              <w:t>CAPA + eventuele handhavingsmaatregelen</w:t>
            </w:r>
          </w:p>
        </w:tc>
      </w:tr>
    </w:tbl>
    <w:p>
      <w:r>
        <w:br w:type="page"/>
      </w:r>
    </w:p>
    <w:p>
      <w:pPr>
        <w:pStyle w:val="Heading1"/>
      </w:pPr>
      <w:r>
        <w:rPr>
          <w:color w:val="003366"/>
        </w:rPr>
        <w:t>6. Toezichtsinstrumenten</w:t>
      </w:r>
    </w:p>
    <w:p>
      <w:r>
        <w:t>Phoenix Metals hanteert een portfolio van toezichtsinstrumenten, elk met een specifiek doel, frequentie en verantwoordelijke. Het instrumentenpalet is ontworpen om zowel leading als lagging indicatoren te dekken.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984"/>
            <w:shd w:fill="003366" w:val="clear"/>
          </w:tcPr>
          <w:p>
            <w:pPr>
              <w:jc w:val="center"/>
            </w:pPr>
            <w:r/>
            <w:r>
              <w:rPr>
                <w:rFonts w:ascii="Calibri" w:hAnsi="Calibri"/>
                <w:b/>
                <w:color w:val="FFFFFF"/>
                <w:sz w:val="20"/>
              </w:rPr>
              <w:t>Instrument</w:t>
            </w:r>
          </w:p>
        </w:tc>
        <w:tc>
          <w:tcPr>
            <w:tcW w:type="dxa" w:w="1701"/>
            <w:shd w:fill="003366" w:val="clear"/>
          </w:tcPr>
          <w:p>
            <w:pPr>
              <w:jc w:val="center"/>
            </w:pPr>
            <w:r/>
            <w:r>
              <w:rPr>
                <w:rFonts w:ascii="Calibri" w:hAnsi="Calibri"/>
                <w:b/>
                <w:color w:val="FFFFFF"/>
                <w:sz w:val="20"/>
              </w:rPr>
              <w:t>Frequentie</w:t>
            </w:r>
          </w:p>
        </w:tc>
        <w:tc>
          <w:tcPr>
            <w:tcW w:type="dxa" w:w="1984"/>
            <w:shd w:fill="003366" w:val="clear"/>
          </w:tcPr>
          <w:p>
            <w:pPr>
              <w:jc w:val="center"/>
            </w:pPr>
            <w:r/>
            <w:r>
              <w:rPr>
                <w:rFonts w:ascii="Calibri" w:hAnsi="Calibri"/>
                <w:b/>
                <w:color w:val="FFFFFF"/>
                <w:sz w:val="20"/>
              </w:rPr>
              <w:t>Verantwoordelijke</w:t>
            </w:r>
          </w:p>
        </w:tc>
        <w:tc>
          <w:tcPr>
            <w:tcW w:type="dxa" w:w="2551"/>
            <w:shd w:fill="003366" w:val="clear"/>
          </w:tcPr>
          <w:p>
            <w:pPr>
              <w:jc w:val="center"/>
            </w:pPr>
            <w:r/>
            <w:r>
              <w:rPr>
                <w:rFonts w:ascii="Calibri" w:hAnsi="Calibri"/>
                <w:b/>
                <w:color w:val="FFFFFF"/>
                <w:sz w:val="20"/>
              </w:rPr>
              <w:t>Output</w:t>
            </w:r>
          </w:p>
        </w:tc>
      </w:tr>
      <w:tr>
        <w:tc>
          <w:tcPr>
            <w:tcW w:type="dxa" w:w="1984"/>
          </w:tcPr>
          <w:p>
            <w:r/>
            <w:r>
              <w:rPr>
                <w:rFonts w:ascii="Calibri" w:hAnsi="Calibri"/>
                <w:sz w:val="20"/>
              </w:rPr>
              <w:t>Interne audit</w:t>
            </w:r>
          </w:p>
        </w:tc>
        <w:tc>
          <w:tcPr>
            <w:tcW w:type="dxa" w:w="1701"/>
          </w:tcPr>
          <w:p>
            <w:r/>
            <w:r>
              <w:rPr>
                <w:rFonts w:ascii="Calibri" w:hAnsi="Calibri"/>
                <w:sz w:val="20"/>
              </w:rPr>
              <w:t>Jaarlijks cyclisch</w:t>
              <w:br/>
              <w:t>(alle elementen in 3 jaar)</w:t>
            </w:r>
          </w:p>
        </w:tc>
        <w:tc>
          <w:tcPr>
            <w:tcW w:type="dxa" w:w="1984"/>
          </w:tcPr>
          <w:p>
            <w:r/>
            <w:r>
              <w:rPr>
                <w:rFonts w:ascii="Calibri" w:hAnsi="Calibri"/>
                <w:sz w:val="20"/>
              </w:rPr>
              <w:t>Audit Manager /</w:t>
              <w:br/>
              <w:t>HSE Manager</w:t>
            </w:r>
          </w:p>
        </w:tc>
        <w:tc>
          <w:tcPr>
            <w:tcW w:type="dxa" w:w="2551"/>
          </w:tcPr>
          <w:p>
            <w:r/>
            <w:r>
              <w:rPr>
                <w:rFonts w:ascii="Calibri" w:hAnsi="Calibri"/>
                <w:sz w:val="20"/>
              </w:rPr>
              <w:t>Auditrapport met</w:t>
              <w:br/>
              <w:t>bevindingen en aanbevelingen</w:t>
            </w:r>
          </w:p>
        </w:tc>
      </w:tr>
      <w:tr>
        <w:tc>
          <w:tcPr>
            <w:tcW w:type="dxa" w:w="1984"/>
            <w:shd w:fill="F8F9FA" w:val="clear"/>
          </w:tcPr>
          <w:p>
            <w:r/>
            <w:r>
              <w:rPr>
                <w:rFonts w:ascii="Calibri" w:hAnsi="Calibri"/>
                <w:sz w:val="20"/>
              </w:rPr>
              <w:t>Externe audit</w:t>
              <w:br/>
              <w:t>(bevoegd gezag)</w:t>
            </w:r>
          </w:p>
        </w:tc>
        <w:tc>
          <w:tcPr>
            <w:tcW w:type="dxa" w:w="1701"/>
            <w:shd w:fill="F8F9FA" w:val="clear"/>
          </w:tcPr>
          <w:p>
            <w:r/>
            <w:r>
              <w:rPr>
                <w:rFonts w:ascii="Calibri" w:hAnsi="Calibri"/>
                <w:sz w:val="20"/>
              </w:rPr>
              <w:t>2–5 jaarlijks</w:t>
            </w:r>
          </w:p>
        </w:tc>
        <w:tc>
          <w:tcPr>
            <w:tcW w:type="dxa" w:w="1984"/>
            <w:shd w:fill="F8F9FA" w:val="clear"/>
          </w:tcPr>
          <w:p>
            <w:r/>
            <w:r>
              <w:rPr>
                <w:rFonts w:ascii="Calibri" w:hAnsi="Calibri"/>
                <w:sz w:val="20"/>
              </w:rPr>
              <w:t>Inspectie SZW /</w:t>
              <w:br/>
              <w:t>DCMR</w:t>
            </w:r>
          </w:p>
        </w:tc>
        <w:tc>
          <w:tcPr>
            <w:tcW w:type="dxa" w:w="2551"/>
            <w:shd w:fill="F8F9FA" w:val="clear"/>
          </w:tcPr>
          <w:p>
            <w:r/>
            <w:r>
              <w:rPr>
                <w:rFonts w:ascii="Calibri" w:hAnsi="Calibri"/>
                <w:sz w:val="20"/>
              </w:rPr>
              <w:t>Officieel inspectierapport</w:t>
            </w:r>
          </w:p>
        </w:tc>
      </w:tr>
      <w:tr>
        <w:tc>
          <w:tcPr>
            <w:tcW w:type="dxa" w:w="1984"/>
          </w:tcPr>
          <w:p>
            <w:r/>
            <w:r>
              <w:rPr>
                <w:rFonts w:ascii="Calibri" w:hAnsi="Calibri"/>
                <w:sz w:val="20"/>
              </w:rPr>
              <w:t>Operationele</w:t>
              <w:br/>
              <w:t>inspecties</w:t>
            </w:r>
          </w:p>
        </w:tc>
        <w:tc>
          <w:tcPr>
            <w:tcW w:type="dxa" w:w="1701"/>
          </w:tcPr>
          <w:p>
            <w:r/>
            <w:r>
              <w:rPr>
                <w:rFonts w:ascii="Calibri" w:hAnsi="Calibri"/>
                <w:sz w:val="20"/>
              </w:rPr>
              <w:t>Maandelijks /</w:t>
              <w:br/>
              <w:t>wekelijks</w:t>
            </w:r>
          </w:p>
        </w:tc>
        <w:tc>
          <w:tcPr>
            <w:tcW w:type="dxa" w:w="1984"/>
          </w:tcPr>
          <w:p>
            <w:r/>
            <w:r>
              <w:rPr>
                <w:rFonts w:ascii="Calibri" w:hAnsi="Calibri"/>
                <w:sz w:val="20"/>
              </w:rPr>
              <w:t>Lijnmanagement /</w:t>
              <w:br/>
              <w:t>HSE-adviseurs</w:t>
            </w:r>
          </w:p>
        </w:tc>
        <w:tc>
          <w:tcPr>
            <w:tcW w:type="dxa" w:w="2551"/>
          </w:tcPr>
          <w:p>
            <w:r/>
            <w:r>
              <w:rPr>
                <w:rFonts w:ascii="Calibri" w:hAnsi="Calibri"/>
                <w:sz w:val="20"/>
              </w:rPr>
              <w:t>Inspectierapport,</w:t>
              <w:br/>
              <w:t>checklist-resultaten</w:t>
            </w:r>
          </w:p>
        </w:tc>
      </w:tr>
      <w:tr>
        <w:tc>
          <w:tcPr>
            <w:tcW w:type="dxa" w:w="1984"/>
            <w:shd w:fill="F8F9FA" w:val="clear"/>
          </w:tcPr>
          <w:p>
            <w:r/>
            <w:r>
              <w:rPr>
                <w:rFonts w:ascii="Calibri" w:hAnsi="Calibri"/>
                <w:sz w:val="20"/>
              </w:rPr>
              <w:t>KPI monitoring</w:t>
            </w:r>
          </w:p>
        </w:tc>
        <w:tc>
          <w:tcPr>
            <w:tcW w:type="dxa" w:w="1701"/>
            <w:shd w:fill="F8F9FA" w:val="clear"/>
          </w:tcPr>
          <w:p>
            <w:r/>
            <w:r>
              <w:rPr>
                <w:rFonts w:ascii="Calibri" w:hAnsi="Calibri"/>
                <w:sz w:val="20"/>
              </w:rPr>
              <w:t>Maandelijks</w:t>
            </w:r>
          </w:p>
        </w:tc>
        <w:tc>
          <w:tcPr>
            <w:tcW w:type="dxa" w:w="1984"/>
            <w:shd w:fill="F8F9FA" w:val="clear"/>
          </w:tcPr>
          <w:p>
            <w:r/>
            <w:r>
              <w:rPr>
                <w:rFonts w:ascii="Calibri" w:hAnsi="Calibri"/>
                <w:sz w:val="20"/>
              </w:rPr>
              <w:t>HSE Manager</w:t>
            </w:r>
          </w:p>
        </w:tc>
        <w:tc>
          <w:tcPr>
            <w:tcW w:type="dxa" w:w="2551"/>
            <w:shd w:fill="F8F9FA" w:val="clear"/>
          </w:tcPr>
          <w:p>
            <w:r/>
            <w:r>
              <w:rPr>
                <w:rFonts w:ascii="Calibri" w:hAnsi="Calibri"/>
                <w:sz w:val="20"/>
              </w:rPr>
              <w:t>KPI-dashboard,</w:t>
              <w:br/>
              <w:t>trendrapportage</w:t>
            </w:r>
          </w:p>
        </w:tc>
      </w:tr>
      <w:tr>
        <w:tc>
          <w:tcPr>
            <w:tcW w:type="dxa" w:w="1984"/>
          </w:tcPr>
          <w:p>
            <w:r/>
            <w:r>
              <w:rPr>
                <w:rFonts w:ascii="Calibri" w:hAnsi="Calibri"/>
                <w:sz w:val="20"/>
              </w:rPr>
              <w:t>Compliance</w:t>
              <w:br/>
              <w:t>monitoring</w:t>
            </w:r>
          </w:p>
        </w:tc>
        <w:tc>
          <w:tcPr>
            <w:tcW w:type="dxa" w:w="1701"/>
          </w:tcPr>
          <w:p>
            <w:r/>
            <w:r>
              <w:rPr>
                <w:rFonts w:ascii="Calibri" w:hAnsi="Calibri"/>
                <w:sz w:val="20"/>
              </w:rPr>
              <w:t>Kwartaallijks</w:t>
            </w:r>
          </w:p>
        </w:tc>
        <w:tc>
          <w:tcPr>
            <w:tcW w:type="dxa" w:w="1984"/>
          </w:tcPr>
          <w:p>
            <w:r/>
            <w:r>
              <w:rPr>
                <w:rFonts w:ascii="Calibri" w:hAnsi="Calibri"/>
                <w:sz w:val="20"/>
              </w:rPr>
              <w:t>Compliance Officer /</w:t>
              <w:br/>
              <w:t>HSE Manager</w:t>
            </w:r>
          </w:p>
        </w:tc>
        <w:tc>
          <w:tcPr>
            <w:tcW w:type="dxa" w:w="2551"/>
          </w:tcPr>
          <w:p>
            <w:r/>
            <w:r>
              <w:rPr>
                <w:rFonts w:ascii="Calibri" w:hAnsi="Calibri"/>
                <w:sz w:val="20"/>
              </w:rPr>
              <w:t>Compliance-statusrapport</w:t>
            </w:r>
          </w:p>
        </w:tc>
      </w:tr>
      <w:tr>
        <w:tc>
          <w:tcPr>
            <w:tcW w:type="dxa" w:w="1984"/>
            <w:shd w:fill="F8F9FA" w:val="clear"/>
          </w:tcPr>
          <w:p>
            <w:r/>
            <w:r>
              <w:rPr>
                <w:rFonts w:ascii="Calibri" w:hAnsi="Calibri"/>
                <w:sz w:val="20"/>
              </w:rPr>
              <w:t>Zelfevaluatie</w:t>
            </w:r>
          </w:p>
        </w:tc>
        <w:tc>
          <w:tcPr>
            <w:tcW w:type="dxa" w:w="1701"/>
            <w:shd w:fill="F8F9FA" w:val="clear"/>
          </w:tcPr>
          <w:p>
            <w:r/>
            <w:r>
              <w:rPr>
                <w:rFonts w:ascii="Calibri" w:hAnsi="Calibri"/>
                <w:sz w:val="20"/>
              </w:rPr>
              <w:t>Jaarlijks</w:t>
            </w:r>
          </w:p>
        </w:tc>
        <w:tc>
          <w:tcPr>
            <w:tcW w:type="dxa" w:w="1984"/>
            <w:shd w:fill="F8F9FA" w:val="clear"/>
          </w:tcPr>
          <w:p>
            <w:r/>
            <w:r>
              <w:rPr>
                <w:rFonts w:ascii="Calibri" w:hAnsi="Calibri"/>
                <w:sz w:val="20"/>
              </w:rPr>
              <w:t>Alle afdelingen</w:t>
              <w:br/>
              <w:t>(gecoördineerd door HSE)</w:t>
            </w:r>
          </w:p>
        </w:tc>
        <w:tc>
          <w:tcPr>
            <w:tcW w:type="dxa" w:w="2551"/>
            <w:shd w:fill="F8F9FA" w:val="clear"/>
          </w:tcPr>
          <w:p>
            <w:r/>
            <w:r>
              <w:rPr>
                <w:rFonts w:ascii="Calibri" w:hAnsi="Calibri"/>
                <w:sz w:val="20"/>
              </w:rPr>
              <w:t>Zelfevaluatierapport per</w:t>
              <w:br/>
              <w:t>VBS-element</w:t>
            </w:r>
          </w:p>
        </w:tc>
      </w:tr>
      <w:tr>
        <w:tc>
          <w:tcPr>
            <w:tcW w:type="dxa" w:w="1984"/>
          </w:tcPr>
          <w:p>
            <w:r/>
            <w:r>
              <w:rPr>
                <w:rFonts w:ascii="Calibri" w:hAnsi="Calibri"/>
                <w:sz w:val="20"/>
              </w:rPr>
              <w:t>CAPA tracking</w:t>
            </w:r>
          </w:p>
        </w:tc>
        <w:tc>
          <w:tcPr>
            <w:tcW w:type="dxa" w:w="1701"/>
          </w:tcPr>
          <w:p>
            <w:r/>
            <w:r>
              <w:rPr>
                <w:rFonts w:ascii="Calibri" w:hAnsi="Calibri"/>
                <w:sz w:val="20"/>
              </w:rPr>
              <w:t>Continu</w:t>
            </w:r>
          </w:p>
        </w:tc>
        <w:tc>
          <w:tcPr>
            <w:tcW w:type="dxa" w:w="1984"/>
          </w:tcPr>
          <w:p>
            <w:r/>
            <w:r>
              <w:rPr>
                <w:rFonts w:ascii="Calibri" w:hAnsi="Calibri"/>
                <w:sz w:val="20"/>
              </w:rPr>
              <w:t>HSE Manager /</w:t>
              <w:br/>
              <w:t>proceseigenaren</w:t>
            </w:r>
          </w:p>
        </w:tc>
        <w:tc>
          <w:tcPr>
            <w:tcW w:type="dxa" w:w="2551"/>
          </w:tcPr>
          <w:p>
            <w:r/>
            <w:r>
              <w:rPr>
                <w:rFonts w:ascii="Calibri" w:hAnsi="Calibri"/>
                <w:sz w:val="20"/>
              </w:rPr>
              <w:t>CAPA-register, status-</w:t>
              <w:br/>
              <w:t>overzicht</w:t>
            </w:r>
          </w:p>
        </w:tc>
      </w:tr>
      <w:tr>
        <w:tc>
          <w:tcPr>
            <w:tcW w:type="dxa" w:w="1984"/>
            <w:shd w:fill="F8F9FA" w:val="clear"/>
          </w:tcPr>
          <w:p>
            <w:r/>
            <w:r>
              <w:rPr>
                <w:rFonts w:ascii="Calibri" w:hAnsi="Calibri"/>
                <w:sz w:val="20"/>
              </w:rPr>
              <w:t>Management</w:t>
              <w:br/>
              <w:t>Review</w:t>
            </w:r>
          </w:p>
        </w:tc>
        <w:tc>
          <w:tcPr>
            <w:tcW w:type="dxa" w:w="1701"/>
            <w:shd w:fill="F8F9FA" w:val="clear"/>
          </w:tcPr>
          <w:p>
            <w:r/>
            <w:r>
              <w:rPr>
                <w:rFonts w:ascii="Calibri" w:hAnsi="Calibri"/>
                <w:sz w:val="20"/>
              </w:rPr>
              <w:t>Jaarlijks</w:t>
            </w:r>
          </w:p>
        </w:tc>
        <w:tc>
          <w:tcPr>
            <w:tcW w:type="dxa" w:w="1984"/>
            <w:shd w:fill="F8F9FA" w:val="clear"/>
          </w:tcPr>
          <w:p>
            <w:r/>
            <w:r>
              <w:rPr>
                <w:rFonts w:ascii="Calibri" w:hAnsi="Calibri"/>
                <w:sz w:val="20"/>
              </w:rPr>
              <w:t>Directie</w:t>
              <w:br/>
              <w:t>(voorzit door CEO)</w:t>
            </w:r>
          </w:p>
        </w:tc>
        <w:tc>
          <w:tcPr>
            <w:tcW w:type="dxa" w:w="2551"/>
            <w:shd w:fill="F8F9FA" w:val="clear"/>
          </w:tcPr>
          <w:p>
            <w:r/>
            <w:r>
              <w:rPr>
                <w:rFonts w:ascii="Calibri" w:hAnsi="Calibri"/>
                <w:sz w:val="20"/>
              </w:rPr>
              <w:t>Management Review</w:t>
              <w:br/>
              <w:t>rapport (PM_VBS01_14)</w:t>
            </w:r>
          </w:p>
        </w:tc>
      </w:tr>
    </w:tbl>
    <w:p>
      <w:r>
        <w:br w:type="page"/>
      </w:r>
    </w:p>
    <w:p>
      <w:pPr>
        <w:pStyle w:val="Heading1"/>
      </w:pPr>
      <w:r>
        <w:rPr>
          <w:color w:val="003366"/>
        </w:rPr>
        <w:t>7. Relatie met andere VBS Elementen</w:t>
      </w:r>
    </w:p>
    <w:p>
      <w:r>
        <w:t>Onderstaande interactie-matrix toont de relatie tussen Element VII (Toezicht op de prestaties) en de overige VBS-elementen. Per element wordt weergegeven wat wordt gemonitord, welke databronnen wordt geraadpleegd, welke KPI's van toepassing zijn en wat de auditfrequentie is.</w:t>
      </w:r>
    </w:p>
    <w:p>
      <w:pPr>
        <w:pStyle w:val="Heading2"/>
      </w:pPr>
      <w:r>
        <w:rPr>
          <w:color w:val="003366"/>
        </w:rPr>
        <w:t>7.1 Element I — Preventiebeleid</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Implementatie preventiebeleid, training compliance, medezeggenschap-structuren,</w:t>
              <w:br/>
              <w:t>communicatie-effectiviteit, beleidsactualiteit</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PM_VBS01_01 t/m PM_VBS01_16 (documenten Element I)</w:t>
            </w:r>
          </w:p>
        </w:tc>
      </w:tr>
      <w:tr>
        <w:tc>
          <w:tcPr>
            <w:tcW w:type="dxa" w:w="2268"/>
          </w:tcPr>
          <w:p>
            <w:r/>
            <w:r>
              <w:rPr>
                <w:rFonts w:ascii="Calibri" w:hAnsi="Calibri"/>
                <w:sz w:val="20"/>
              </w:rPr>
              <w:t>KPI 1</w:t>
            </w:r>
          </w:p>
        </w:tc>
        <w:tc>
          <w:tcPr>
            <w:tcW w:type="dxa" w:w="6803"/>
          </w:tcPr>
          <w:p>
            <w:r/>
            <w:r>
              <w:rPr>
                <w:rFonts w:ascii="Calibri" w:hAnsi="Calibri"/>
                <w:sz w:val="20"/>
              </w:rPr>
              <w:t>% medewerkers met geldige veiligheidstraining (target: 100%)</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Aantal OR/veiligheidscommissie-vergaderingen per jaar (target: ≥10)</w:t>
            </w:r>
          </w:p>
        </w:tc>
      </w:tr>
      <w:tr>
        <w:tc>
          <w:tcPr>
            <w:tcW w:type="dxa" w:w="2268"/>
          </w:tcPr>
          <w:p>
            <w:r/>
            <w:r>
              <w:rPr>
                <w:rFonts w:ascii="Calibri" w:hAnsi="Calibri"/>
                <w:sz w:val="20"/>
              </w:rPr>
              <w:t>KPI 3</w:t>
            </w:r>
          </w:p>
        </w:tc>
        <w:tc>
          <w:tcPr>
            <w:tcW w:type="dxa" w:w="6803"/>
          </w:tcPr>
          <w:p>
            <w:r/>
            <w:r>
              <w:rPr>
                <w:rFonts w:ascii="Calibri" w:hAnsi="Calibri"/>
                <w:sz w:val="20"/>
              </w:rPr>
              <w:t>% beleidsdocumenten actueel (&lt; 12 maanden sinds laatste review)</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Gemiddelde tijd tussen beleidsupdate en implementatie (target: &lt; 30 dagen)</w:t>
            </w:r>
          </w:p>
        </w:tc>
      </w:tr>
      <w:tr>
        <w:tc>
          <w:tcPr>
            <w:tcW w:type="dxa" w:w="2268"/>
          </w:tcPr>
          <w:p>
            <w:r/>
            <w:r>
              <w:rPr>
                <w:rFonts w:ascii="Calibri" w:hAnsi="Calibri"/>
                <w:sz w:val="20"/>
              </w:rPr>
              <w:t>KPI 5</w:t>
            </w:r>
          </w:p>
        </w:tc>
        <w:tc>
          <w:tcPr>
            <w:tcW w:type="dxa" w:w="6803"/>
          </w:tcPr>
          <w:p>
            <w:r/>
            <w:r>
              <w:rPr>
                <w:rFonts w:ascii="Calibri" w:hAnsi="Calibri"/>
                <w:sz w:val="20"/>
              </w:rPr>
              <w:t>Medewerkerstevredenheid veiligheidsklimaat (target: ≥7.5/10)</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 (volledig), halfjaarlijks (steekproef)</w:t>
            </w:r>
          </w:p>
        </w:tc>
      </w:tr>
    </w:tbl>
    <w:p/>
    <w:p>
      <w:pPr>
        <w:pStyle w:val="Heading2"/>
      </w:pPr>
      <w:r>
        <w:rPr>
          <w:color w:val="003366"/>
        </w:rPr>
        <w:t>7.2 Element II — Gevaaridentificatie</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RI&amp;E actualiteit, risicomatrix up-to-date, MASC's geïdentificeerd,</w:t>
              <w:br/>
              <w:t>gevarenzone-indeling actueel, risicobeheersmaatregelen effectief</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PM_VBS02_01 t/m PM_VBS02_13 (documenten Element II)</w:t>
            </w:r>
          </w:p>
        </w:tc>
      </w:tr>
      <w:tr>
        <w:tc>
          <w:tcPr>
            <w:tcW w:type="dxa" w:w="2268"/>
          </w:tcPr>
          <w:p>
            <w:r/>
            <w:r>
              <w:rPr>
                <w:rFonts w:ascii="Calibri" w:hAnsi="Calibri"/>
                <w:sz w:val="20"/>
              </w:rPr>
              <w:t>KPI 1</w:t>
            </w:r>
          </w:p>
        </w:tc>
        <w:tc>
          <w:tcPr>
            <w:tcW w:type="dxa" w:w="6803"/>
          </w:tcPr>
          <w:p>
            <w:r/>
            <w:r>
              <w:rPr>
                <w:rFonts w:ascii="Calibri" w:hAnsi="Calibri"/>
                <w:sz w:val="20"/>
              </w:rPr>
              <w:t>% RI&amp;E's actueel (&lt; 3 jaar sinds laatste herziening, target: 100%)</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Aantal nieuwe gevaren geïdentificeerd per kwartaal (target: ≥5)</w:t>
            </w:r>
          </w:p>
        </w:tc>
      </w:tr>
      <w:tr>
        <w:tc>
          <w:tcPr>
            <w:tcW w:type="dxa" w:w="2268"/>
          </w:tcPr>
          <w:p>
            <w:r/>
            <w:r>
              <w:rPr>
                <w:rFonts w:ascii="Calibri" w:hAnsi="Calibri"/>
                <w:sz w:val="20"/>
              </w:rPr>
              <w:t>KPI 3</w:t>
            </w:r>
          </w:p>
        </w:tc>
        <w:tc>
          <w:tcPr>
            <w:tcW w:type="dxa" w:w="6803"/>
          </w:tcPr>
          <w:p>
            <w:r/>
            <w:r>
              <w:rPr>
                <w:rFonts w:ascii="Calibri" w:hAnsi="Calibri"/>
                <w:sz w:val="20"/>
              </w:rPr>
              <w:t>% MASC's met actueel risicobeheersingsplan (target: 100%)</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Gemiddelde residual risk score (target: dalend trend)</w:t>
            </w:r>
          </w:p>
        </w:tc>
      </w:tr>
      <w:tr>
        <w:tc>
          <w:tcPr>
            <w:tcW w:type="dxa" w:w="2268"/>
          </w:tcPr>
          <w:p>
            <w:r/>
            <w:r>
              <w:rPr>
                <w:rFonts w:ascii="Calibri" w:hAnsi="Calibri"/>
                <w:sz w:val="20"/>
              </w:rPr>
              <w:t>KPI 5</w:t>
            </w:r>
          </w:p>
        </w:tc>
        <w:tc>
          <w:tcPr>
            <w:tcW w:type="dxa" w:w="6803"/>
          </w:tcPr>
          <w:p>
            <w:r/>
            <w:r>
              <w:rPr>
                <w:rFonts w:ascii="Calibri" w:hAnsi="Calibri"/>
                <w:sz w:val="20"/>
              </w:rPr>
              <w:t>Tijd tussen identificatie en beheersing van kritiek risico (target: &lt; 48 uur)</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w:t>
            </w:r>
          </w:p>
        </w:tc>
      </w:tr>
    </w:tbl>
    <w:p/>
    <w:p>
      <w:pPr>
        <w:pStyle w:val="Heading2"/>
      </w:pPr>
      <w:r>
        <w:rPr>
          <w:color w:val="003366"/>
        </w:rPr>
        <w:t>7.3 Element III — Exploitatiecontrole</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CoW compliance, SCE-status, LOTO-procedures, PSSR-uitvoering,</w:t>
              <w:br/>
              <w:t>onderhoudsregimes, toezichthoudersbeleid</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PM_VBS03_01 t/m PM_VBS03_15 (documenten Element III)</w:t>
            </w:r>
          </w:p>
        </w:tc>
      </w:tr>
      <w:tr>
        <w:tc>
          <w:tcPr>
            <w:tcW w:type="dxa" w:w="2268"/>
          </w:tcPr>
          <w:p>
            <w:r/>
            <w:r>
              <w:rPr>
                <w:rFonts w:ascii="Calibri" w:hAnsi="Calibri"/>
                <w:sz w:val="20"/>
              </w:rPr>
              <w:t>KPI 1</w:t>
            </w:r>
          </w:p>
        </w:tc>
        <w:tc>
          <w:tcPr>
            <w:tcW w:type="dxa" w:w="6803"/>
          </w:tcPr>
          <w:p>
            <w:r/>
            <w:r>
              <w:rPr>
                <w:rFonts w:ascii="Calibri" w:hAnsi="Calibri"/>
                <w:sz w:val="20"/>
              </w:rPr>
              <w:t>% veiligheidsarbeidsvergunningen (CoW) correct afgehandeld (target: ≥98%)</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 SCE's binnen inspectie-interval (target: 100%)</w:t>
            </w:r>
          </w:p>
        </w:tc>
      </w:tr>
      <w:tr>
        <w:tc>
          <w:tcPr>
            <w:tcW w:type="dxa" w:w="2268"/>
          </w:tcPr>
          <w:p>
            <w:r/>
            <w:r>
              <w:rPr>
                <w:rFonts w:ascii="Calibri" w:hAnsi="Calibri"/>
                <w:sz w:val="20"/>
              </w:rPr>
              <w:t>KPI 3</w:t>
            </w:r>
          </w:p>
        </w:tc>
        <w:tc>
          <w:tcPr>
            <w:tcW w:type="dxa" w:w="6803"/>
          </w:tcPr>
          <w:p>
            <w:r/>
            <w:r>
              <w:rPr>
                <w:rFonts w:ascii="Calibri" w:hAnsi="Calibri"/>
                <w:sz w:val="20"/>
              </w:rPr>
              <w:t>Aantal LOTO-overtredingen per kwartaal (target: 0)</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 PSSR's uitgevoerd voor ingebruikname (target: 100%)</w:t>
            </w:r>
          </w:p>
        </w:tc>
      </w:tr>
      <w:tr>
        <w:tc>
          <w:tcPr>
            <w:tcW w:type="dxa" w:w="2268"/>
          </w:tcPr>
          <w:p>
            <w:r/>
            <w:r>
              <w:rPr>
                <w:rFonts w:ascii="Calibri" w:hAnsi="Calibri"/>
                <w:sz w:val="20"/>
              </w:rPr>
              <w:t>KPI 5</w:t>
            </w:r>
          </w:p>
        </w:tc>
        <w:tc>
          <w:tcPr>
            <w:tcW w:type="dxa" w:w="6803"/>
          </w:tcPr>
          <w:p>
            <w:r/>
            <w:r>
              <w:rPr>
                <w:rFonts w:ascii="Calibri" w:hAnsi="Calibri"/>
                <w:sz w:val="20"/>
              </w:rPr>
              <w:t>Beschikbaarheid kritieke installaties (target: ≥99.5%)</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 (volledig), maandelijks (inspectie steekproef)</w:t>
            </w:r>
          </w:p>
        </w:tc>
      </w:tr>
    </w:tbl>
    <w:p/>
    <w:p>
      <w:pPr>
        <w:pStyle w:val="Heading2"/>
      </w:pPr>
      <w:r>
        <w:rPr>
          <w:color w:val="003366"/>
        </w:rPr>
        <w:t>7.4 Element IV — Noodplanning</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Oefenprogramma uitgevoerd, BHV-paraatheid, BCP getest,</w:t>
              <w:br/>
              <w:t>alarmystemen functioneel, communicatieprotocollen actueel</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PM_VBS04_01 t/m PM_VBS04_14 (documenten Element IV)</w:t>
            </w:r>
          </w:p>
        </w:tc>
      </w:tr>
      <w:tr>
        <w:tc>
          <w:tcPr>
            <w:tcW w:type="dxa" w:w="2268"/>
          </w:tcPr>
          <w:p>
            <w:r/>
            <w:r>
              <w:rPr>
                <w:rFonts w:ascii="Calibri" w:hAnsi="Calibri"/>
                <w:sz w:val="20"/>
              </w:rPr>
              <w:t>KPI 1</w:t>
            </w:r>
          </w:p>
        </w:tc>
        <w:tc>
          <w:tcPr>
            <w:tcW w:type="dxa" w:w="6803"/>
          </w:tcPr>
          <w:p>
            <w:r/>
            <w:r>
              <w:rPr>
                <w:rFonts w:ascii="Calibri" w:hAnsi="Calibri"/>
                <w:sz w:val="20"/>
              </w:rPr>
              <w:t>% geplande oefeningen uitgevoerd (target: 100%)</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BHV-responstijd bij oefeningen (target: &lt; 3 minuten)</w:t>
            </w:r>
          </w:p>
        </w:tc>
      </w:tr>
      <w:tr>
        <w:tc>
          <w:tcPr>
            <w:tcW w:type="dxa" w:w="2268"/>
          </w:tcPr>
          <w:p>
            <w:r/>
            <w:r>
              <w:rPr>
                <w:rFonts w:ascii="Calibri" w:hAnsi="Calibri"/>
                <w:sz w:val="20"/>
              </w:rPr>
              <w:t>KPI 3</w:t>
            </w:r>
          </w:p>
        </w:tc>
        <w:tc>
          <w:tcPr>
            <w:tcW w:type="dxa" w:w="6803"/>
          </w:tcPr>
          <w:p>
            <w:r/>
            <w:r>
              <w:rPr>
                <w:rFonts w:ascii="Calibri" w:hAnsi="Calibri"/>
                <w:sz w:val="20"/>
              </w:rPr>
              <w:t>% BHV'ers met geldig certificaat (target: 100%)</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BCP-test minimaal 1x per jaar uitgevoerd (target: ja)</w:t>
            </w:r>
          </w:p>
        </w:tc>
      </w:tr>
      <w:tr>
        <w:tc>
          <w:tcPr>
            <w:tcW w:type="dxa" w:w="2268"/>
          </w:tcPr>
          <w:p>
            <w:r/>
            <w:r>
              <w:rPr>
                <w:rFonts w:ascii="Calibri" w:hAnsi="Calibri"/>
                <w:sz w:val="20"/>
              </w:rPr>
              <w:t>KPI 5</w:t>
            </w:r>
          </w:p>
        </w:tc>
        <w:tc>
          <w:tcPr>
            <w:tcW w:type="dxa" w:w="6803"/>
          </w:tcPr>
          <w:p>
            <w:r/>
            <w:r>
              <w:rPr>
                <w:rFonts w:ascii="Calibri" w:hAnsi="Calibri"/>
                <w:sz w:val="20"/>
              </w:rPr>
              <w:t>Aantal verbeteracties uit oefenevaluaties afgesloten (target: 100% binnen 60 dagen)</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w:t>
            </w:r>
          </w:p>
        </w:tc>
      </w:tr>
    </w:tbl>
    <w:p/>
    <w:p>
      <w:pPr>
        <w:pStyle w:val="Heading2"/>
      </w:pPr>
      <w:r>
        <w:rPr>
          <w:color w:val="003366"/>
        </w:rPr>
        <w:t>7.5 Element V — Wijzigingenbeheer</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MoC-doorlooptijd, regulatory compliance, risicobeoordeling bij wijzigingen,</w:t>
              <w:br/>
              <w:t>goedkeuringsprocedure gevolgd, communicatie wijzigingen</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PM_VBS05_01 t/m PM_VBS05_07 (documenten Element V)</w:t>
            </w:r>
          </w:p>
        </w:tc>
      </w:tr>
      <w:tr>
        <w:tc>
          <w:tcPr>
            <w:tcW w:type="dxa" w:w="2268"/>
          </w:tcPr>
          <w:p>
            <w:r/>
            <w:r>
              <w:rPr>
                <w:rFonts w:ascii="Calibri" w:hAnsi="Calibri"/>
                <w:sz w:val="20"/>
              </w:rPr>
              <w:t>KPI 1</w:t>
            </w:r>
          </w:p>
        </w:tc>
        <w:tc>
          <w:tcPr>
            <w:tcW w:type="dxa" w:w="6803"/>
          </w:tcPr>
          <w:p>
            <w:r/>
            <w:r>
              <w:rPr>
                <w:rFonts w:ascii="Calibri" w:hAnsi="Calibri"/>
                <w:sz w:val="20"/>
              </w:rPr>
              <w:t>% MoC-aanvragen met volledige risicobeoordeling (target: 100%)</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Gemiddelde doorlooptijd MoC-proces (target: &lt; 20 werkdagen)</w:t>
            </w:r>
          </w:p>
        </w:tc>
      </w:tr>
      <w:tr>
        <w:tc>
          <w:tcPr>
            <w:tcW w:type="dxa" w:w="2268"/>
          </w:tcPr>
          <w:p>
            <w:r/>
            <w:r>
              <w:rPr>
                <w:rFonts w:ascii="Calibri" w:hAnsi="Calibri"/>
                <w:sz w:val="20"/>
              </w:rPr>
              <w:t>KPI 3</w:t>
            </w:r>
          </w:p>
        </w:tc>
        <w:tc>
          <w:tcPr>
            <w:tcW w:type="dxa" w:w="6803"/>
          </w:tcPr>
          <w:p>
            <w:r/>
            <w:r>
              <w:rPr>
                <w:rFonts w:ascii="Calibri" w:hAnsi="Calibri"/>
                <w:sz w:val="20"/>
              </w:rPr>
              <w:t>Aantal ongeautoriseerde wijzigingen per jaar (target: 0)</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 wijzigingen met regulatory check (target: 100%)</w:t>
            </w:r>
          </w:p>
        </w:tc>
      </w:tr>
      <w:tr>
        <w:tc>
          <w:tcPr>
            <w:tcW w:type="dxa" w:w="2268"/>
          </w:tcPr>
          <w:p>
            <w:r/>
            <w:r>
              <w:rPr>
                <w:rFonts w:ascii="Calibri" w:hAnsi="Calibri"/>
                <w:sz w:val="20"/>
              </w:rPr>
              <w:t>KPI 5</w:t>
            </w:r>
          </w:p>
        </w:tc>
        <w:tc>
          <w:tcPr>
            <w:tcW w:type="dxa" w:w="6803"/>
          </w:tcPr>
          <w:p>
            <w:r/>
            <w:r>
              <w:rPr>
                <w:rFonts w:ascii="Calibri" w:hAnsi="Calibri"/>
                <w:sz w:val="20"/>
              </w:rPr>
              <w:t>Tijd tussen MoC-goedkeuring en communicatie naar medewerkers (target: &lt; 5 werkdagen)</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w:t>
            </w:r>
          </w:p>
        </w:tc>
      </w:tr>
    </w:tbl>
    <w:p/>
    <w:p>
      <w:pPr>
        <w:pStyle w:val="Heading2"/>
      </w:pPr>
      <w:r>
        <w:rPr>
          <w:color w:val="003366"/>
        </w:rPr>
        <w:t>7.6 Element VII — Toezicht op de prestaties (zelfevaluatie)</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
              <w:rPr>
                <w:rFonts w:ascii="Calibri" w:hAnsi="Calibri"/>
                <w:b/>
                <w:color w:val="FFFFFF"/>
                <w:sz w:val="20"/>
              </w:rPr>
              <w:t>Aspect</w:t>
            </w:r>
          </w:p>
        </w:tc>
        <w:tc>
          <w:tcPr>
            <w:tcW w:type="dxa" w:w="6803"/>
            <w:shd w:fill="003366" w:val="clear"/>
          </w:tcPr>
          <w:p>
            <w:pPr>
              <w:jc w:val="center"/>
            </w:pPr>
            <w:r/>
            <w:r>
              <w:rPr>
                <w:rFonts w:ascii="Calibri" w:hAnsi="Calibri"/>
                <w:b/>
                <w:color w:val="FFFFFF"/>
                <w:sz w:val="20"/>
              </w:rPr>
              <w:t>Specificatie</w:t>
            </w:r>
          </w:p>
        </w:tc>
      </w:tr>
      <w:tr>
        <w:tc>
          <w:tcPr>
            <w:tcW w:type="dxa" w:w="2268"/>
          </w:tcPr>
          <w:p>
            <w:r/>
            <w:r>
              <w:rPr>
                <w:rFonts w:ascii="Calibri" w:hAnsi="Calibri"/>
                <w:sz w:val="20"/>
              </w:rPr>
              <w:t>Wat wordt gemonitord</w:t>
            </w:r>
          </w:p>
        </w:tc>
        <w:tc>
          <w:tcPr>
            <w:tcW w:type="dxa" w:w="6803"/>
          </w:tcPr>
          <w:p>
            <w:r/>
            <w:r>
              <w:rPr>
                <w:rFonts w:ascii="Calibri" w:hAnsi="Calibri"/>
                <w:sz w:val="20"/>
              </w:rPr>
              <w:t>CAPA-afsluiting, trendanalyse-effectiviteit, auditprogramma uitgevoerd,</w:t>
              <w:br/>
              <w:t>KPI-betrouwbaarheid, verbetercyclus doorlooptijd</w:t>
            </w:r>
          </w:p>
        </w:tc>
      </w:tr>
      <w:tr>
        <w:tc>
          <w:tcPr>
            <w:tcW w:type="dxa" w:w="2268"/>
            <w:shd w:fill="F8F9FA" w:val="clear"/>
          </w:tcPr>
          <w:p>
            <w:r/>
            <w:r>
              <w:rPr>
                <w:rFonts w:ascii="Calibri" w:hAnsi="Calibri"/>
                <w:sz w:val="20"/>
              </w:rPr>
              <w:t>Databronnen</w:t>
            </w:r>
          </w:p>
        </w:tc>
        <w:tc>
          <w:tcPr>
            <w:tcW w:type="dxa" w:w="6803"/>
            <w:shd w:fill="F8F9FA" w:val="clear"/>
          </w:tcPr>
          <w:p>
            <w:r/>
            <w:r>
              <w:rPr>
                <w:rFonts w:ascii="Calibri" w:hAnsi="Calibri"/>
                <w:sz w:val="20"/>
              </w:rPr>
              <w:t>PM_VBS06_01 t/m PM_VBS06_07 (documenten Element VII — eigen documenten)</w:t>
            </w:r>
          </w:p>
        </w:tc>
      </w:tr>
      <w:tr>
        <w:tc>
          <w:tcPr>
            <w:tcW w:type="dxa" w:w="2268"/>
          </w:tcPr>
          <w:p>
            <w:r/>
            <w:r>
              <w:rPr>
                <w:rFonts w:ascii="Calibri" w:hAnsi="Calibri"/>
                <w:sz w:val="20"/>
              </w:rPr>
              <w:t>KPI 1</w:t>
            </w:r>
          </w:p>
        </w:tc>
        <w:tc>
          <w:tcPr>
            <w:tcW w:type="dxa" w:w="6803"/>
          </w:tcPr>
          <w:p>
            <w:r/>
            <w:r>
              <w:rPr>
                <w:rFonts w:ascii="Calibri" w:hAnsi="Calibri"/>
                <w:sz w:val="20"/>
              </w:rPr>
              <w:t>% geplande audits uitgevoerd (target: 100%)</w:t>
            </w:r>
          </w:p>
        </w:tc>
      </w:tr>
      <w:tr>
        <w:tc>
          <w:tcPr>
            <w:tcW w:type="dxa" w:w="2268"/>
            <w:shd w:fill="F8F9FA" w:val="clear"/>
          </w:tcPr>
          <w:p>
            <w:r/>
            <w:r>
              <w:rPr>
                <w:rFonts w:ascii="Calibri" w:hAnsi="Calibri"/>
                <w:sz w:val="20"/>
              </w:rPr>
              <w:t>KPI 2</w:t>
            </w:r>
          </w:p>
        </w:tc>
        <w:tc>
          <w:tcPr>
            <w:tcW w:type="dxa" w:w="6803"/>
            <w:shd w:fill="F8F9FA" w:val="clear"/>
          </w:tcPr>
          <w:p>
            <w:r/>
            <w:r>
              <w:rPr>
                <w:rFonts w:ascii="Calibri" w:hAnsi="Calibri"/>
                <w:sz w:val="20"/>
              </w:rPr>
              <w:t>Gemiddelde tijd tot CAPA-afsluiting (target: &lt; 60 dagen voor major, &lt; 30 voor minor)</w:t>
            </w:r>
          </w:p>
        </w:tc>
      </w:tr>
      <w:tr>
        <w:tc>
          <w:tcPr>
            <w:tcW w:type="dxa" w:w="2268"/>
          </w:tcPr>
          <w:p>
            <w:r/>
            <w:r>
              <w:rPr>
                <w:rFonts w:ascii="Calibri" w:hAnsi="Calibri"/>
                <w:sz w:val="20"/>
              </w:rPr>
              <w:t>KPI 3</w:t>
            </w:r>
          </w:p>
        </w:tc>
        <w:tc>
          <w:tcPr>
            <w:tcW w:type="dxa" w:w="6803"/>
          </w:tcPr>
          <w:p>
            <w:r/>
            <w:r>
              <w:rPr>
                <w:rFonts w:ascii="Calibri" w:hAnsi="Calibri"/>
                <w:sz w:val="20"/>
              </w:rPr>
              <w:t>Aantal recidive-non-conformiteiten (target: 0)</w:t>
            </w:r>
          </w:p>
        </w:tc>
      </w:tr>
      <w:tr>
        <w:tc>
          <w:tcPr>
            <w:tcW w:type="dxa" w:w="2268"/>
            <w:shd w:fill="F8F9FA" w:val="clear"/>
          </w:tcPr>
          <w:p>
            <w:r/>
            <w:r>
              <w:rPr>
                <w:rFonts w:ascii="Calibri" w:hAnsi="Calibri"/>
                <w:sz w:val="20"/>
              </w:rPr>
              <w:t>KPI 4</w:t>
            </w:r>
          </w:p>
        </w:tc>
        <w:tc>
          <w:tcPr>
            <w:tcW w:type="dxa" w:w="6803"/>
            <w:shd w:fill="F8F9FA" w:val="clear"/>
          </w:tcPr>
          <w:p>
            <w:r/>
            <w:r>
              <w:rPr>
                <w:rFonts w:ascii="Calibri" w:hAnsi="Calibri"/>
                <w:sz w:val="20"/>
              </w:rPr>
              <w:t>Trend die positief is op ≥80% van de KPI's (target: ja)</w:t>
            </w:r>
          </w:p>
        </w:tc>
      </w:tr>
      <w:tr>
        <w:tc>
          <w:tcPr>
            <w:tcW w:type="dxa" w:w="2268"/>
          </w:tcPr>
          <w:p>
            <w:r/>
            <w:r>
              <w:rPr>
                <w:rFonts w:ascii="Calibri" w:hAnsi="Calibri"/>
                <w:sz w:val="20"/>
              </w:rPr>
              <w:t>KPI 5</w:t>
            </w:r>
          </w:p>
        </w:tc>
        <w:tc>
          <w:tcPr>
            <w:tcW w:type="dxa" w:w="6803"/>
          </w:tcPr>
          <w:p>
            <w:r/>
            <w:r>
              <w:rPr>
                <w:rFonts w:ascii="Calibri" w:hAnsi="Calibri"/>
                <w:sz w:val="20"/>
              </w:rPr>
              <w:t>Management Review uitgevoerd conform planning (target: ja, 1x per jaar)</w:t>
            </w:r>
          </w:p>
        </w:tc>
      </w:tr>
      <w:tr>
        <w:tc>
          <w:tcPr>
            <w:tcW w:type="dxa" w:w="2268"/>
            <w:shd w:fill="F8F9FA" w:val="clear"/>
          </w:tcPr>
          <w:p>
            <w:r/>
            <w:r>
              <w:rPr>
                <w:rFonts w:ascii="Calibri" w:hAnsi="Calibri"/>
                <w:sz w:val="20"/>
              </w:rPr>
              <w:t>Auditfrequentie</w:t>
            </w:r>
          </w:p>
        </w:tc>
        <w:tc>
          <w:tcPr>
            <w:tcW w:type="dxa" w:w="6803"/>
            <w:shd w:fill="F8F9FA" w:val="clear"/>
          </w:tcPr>
          <w:p>
            <w:r/>
            <w:r>
              <w:rPr>
                <w:rFonts w:ascii="Calibri" w:hAnsi="Calibri"/>
                <w:sz w:val="20"/>
              </w:rPr>
              <w:t>Jaarlijks (via zelfevaluatie en externe audit)</w:t>
            </w:r>
          </w:p>
        </w:tc>
      </w:tr>
    </w:tbl>
    <w:p>
      <w:r>
        <w:br w:type="page"/>
      </w:r>
    </w:p>
    <w:p>
      <w:pPr>
        <w:pStyle w:val="Heading1"/>
      </w:pPr>
      <w:r>
        <w:rPr>
          <w:color w:val="003366"/>
        </w:rPr>
        <w:t>8. Beleidsverantwoordelijkheden</w:t>
      </w:r>
    </w:p>
    <w:p>
      <w:pPr>
        <w:pStyle w:val="Heading2"/>
      </w:pPr>
      <w:r>
        <w:rPr>
          <w:color w:val="003366"/>
        </w:rPr>
        <w:t>8.1 Directie</w:t>
      </w:r>
    </w:p>
    <w:p>
      <w:r>
        <w:t>De directie van Phoenix Metals is eindverantwoordelijk voor het toezicht op de prestaties van het VBS. De directie ontvangt jaarlijks het Management Review rapport, stelt prioriteiten voor verbeteracties vast en stelt de benodigde middelen beschikbaar voor de uitvoering van het auditprogramma.</w:t>
      </w:r>
    </w:p>
    <w:p>
      <w:pPr>
        <w:pStyle w:val="Heading2"/>
      </w:pPr>
      <w:r>
        <w:rPr>
          <w:color w:val="003366"/>
        </w:rPr>
        <w:t>8.2 Audit Manager / HSE Manager</w:t>
      </w:r>
    </w:p>
    <w:p>
      <w:r>
        <w:t>De HSE Manager is verantwoordelijk voor de coördinatie van het gehele toezichtsprogramma: opstellen van het jaarlijkse auditprogramma, aansturing van interne auditors, beheer van het CAPA-register en voorbereiding van de Management Review.</w:t>
      </w:r>
    </w:p>
    <w:p>
      <w:pPr>
        <w:pStyle w:val="Heading2"/>
      </w:pPr>
      <w:r>
        <w:rPr>
          <w:color w:val="003366"/>
        </w:rPr>
        <w:t>8.3 Interne auditor(s)</w:t>
      </w:r>
    </w:p>
    <w:p>
      <w:r>
        <w:t>Interne auditors voeren audits uit conform het goedgekeurde auditprogramma. Zij zijn onafhankelijk van de te auditen afdelingen en rapporteren bevindingen objectief. Auditors dienen te voldoen aan de competentie-eisen van ISO 19011:2018.</w:t>
      </w:r>
    </w:p>
    <w:p>
      <w:pPr>
        <w:pStyle w:val="Heading2"/>
      </w:pPr>
      <w:r>
        <w:rPr>
          <w:color w:val="003366"/>
        </w:rPr>
        <w:t>8.4 Externe auditor</w:t>
      </w:r>
    </w:p>
    <w:p>
      <w:r>
        <w:t>Externe auditors (Inspectie SZW, DCMR Milieudienst, of ingeschakelde certificerende instanties) voeren onafhankelijke audits uit. Phoenix Metals verleent volledige medewerking en stelt alle relevante documentatie ter beschikking.</w:t>
      </w:r>
    </w:p>
    <w:p>
      <w:pPr>
        <w:pStyle w:val="Heading2"/>
      </w:pPr>
      <w:r>
        <w:rPr>
          <w:color w:val="003366"/>
        </w:rPr>
        <w:t>8.5 Lijnmanagement</w:t>
      </w:r>
    </w:p>
    <w:p>
      <w:r>
        <w:t>Lijnmanagers zijn verantwoordelijk voor medewerking aan audits en inspecties, en voor de tijdige opvolging en afsluiting van toegewezen CAPA-acties binnen hun afdeling.</w:t>
      </w:r>
    </w:p>
    <w:p>
      <w:pPr>
        <w:pStyle w:val="Heading2"/>
      </w:pPr>
      <w:r>
        <w:rPr>
          <w:color w:val="003366"/>
        </w:rPr>
        <w:t>8.6 RACI-overzicht</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984"/>
            <w:shd w:fill="003366" w:val="clear"/>
          </w:tcPr>
          <w:p>
            <w:pPr>
              <w:jc w:val="center"/>
            </w:pPr>
            <w:r/>
            <w:r>
              <w:rPr>
                <w:rFonts w:ascii="Calibri" w:hAnsi="Calibri"/>
                <w:b/>
                <w:color w:val="FFFFFF"/>
                <w:sz w:val="20"/>
              </w:rPr>
              <w:t>Activiteit</w:t>
            </w:r>
          </w:p>
        </w:tc>
        <w:tc>
          <w:tcPr>
            <w:tcW w:type="dxa" w:w="1701"/>
            <w:shd w:fill="003366" w:val="clear"/>
          </w:tcPr>
          <w:p>
            <w:pPr>
              <w:jc w:val="center"/>
            </w:pPr>
            <w:r/>
            <w:r>
              <w:rPr>
                <w:rFonts w:ascii="Calibri" w:hAnsi="Calibri"/>
                <w:b/>
                <w:color w:val="FFFFFF"/>
                <w:sz w:val="20"/>
              </w:rPr>
              <w:t>R (Responsible)</w:t>
            </w:r>
          </w:p>
        </w:tc>
        <w:tc>
          <w:tcPr>
            <w:tcW w:type="dxa" w:w="1701"/>
            <w:shd w:fill="003366" w:val="clear"/>
          </w:tcPr>
          <w:p>
            <w:pPr>
              <w:jc w:val="center"/>
            </w:pPr>
            <w:r/>
            <w:r>
              <w:rPr>
                <w:rFonts w:ascii="Calibri" w:hAnsi="Calibri"/>
                <w:b/>
                <w:color w:val="FFFFFF"/>
                <w:sz w:val="20"/>
              </w:rPr>
              <w:t>A (Accountable)</w:t>
            </w:r>
          </w:p>
        </w:tc>
        <w:tc>
          <w:tcPr>
            <w:tcW w:type="dxa" w:w="1701"/>
            <w:shd w:fill="003366" w:val="clear"/>
          </w:tcPr>
          <w:p>
            <w:pPr>
              <w:jc w:val="center"/>
            </w:pPr>
            <w:r/>
            <w:r>
              <w:rPr>
                <w:rFonts w:ascii="Calibri" w:hAnsi="Calibri"/>
                <w:b/>
                <w:color w:val="FFFFFF"/>
                <w:sz w:val="20"/>
              </w:rPr>
              <w:t>C (Consulted)</w:t>
            </w:r>
          </w:p>
        </w:tc>
        <w:tc>
          <w:tcPr>
            <w:tcW w:type="dxa" w:w="1701"/>
            <w:shd w:fill="003366" w:val="clear"/>
          </w:tcPr>
          <w:p>
            <w:pPr>
              <w:jc w:val="center"/>
            </w:pPr>
            <w:r/>
            <w:r>
              <w:rPr>
                <w:rFonts w:ascii="Calibri" w:hAnsi="Calibri"/>
                <w:b/>
                <w:color w:val="FFFFFF"/>
                <w:sz w:val="20"/>
              </w:rPr>
              <w:t>I (Informed)</w:t>
            </w:r>
          </w:p>
        </w:tc>
      </w:tr>
      <w:tr>
        <w:tc>
          <w:tcPr>
            <w:tcW w:type="dxa" w:w="1984"/>
          </w:tcPr>
          <w:p>
            <w:r/>
            <w:r>
              <w:rPr>
                <w:rFonts w:ascii="Calibri" w:hAnsi="Calibri"/>
                <w:sz w:val="20"/>
              </w:rPr>
              <w:t>Opstellen auditprogramma</w:t>
            </w:r>
          </w:p>
        </w:tc>
        <w:tc>
          <w:tcPr>
            <w:tcW w:type="dxa" w:w="1701"/>
          </w:tcPr>
          <w:p>
            <w:r/>
            <w:r>
              <w:rPr>
                <w:rFonts w:ascii="Calibri" w:hAnsi="Calibri"/>
                <w:sz w:val="20"/>
              </w:rPr>
              <w:t>HSE Manager</w:t>
            </w:r>
          </w:p>
        </w:tc>
        <w:tc>
          <w:tcPr>
            <w:tcW w:type="dxa" w:w="1701"/>
          </w:tcPr>
          <w:p>
            <w:r/>
            <w:r>
              <w:rPr>
                <w:rFonts w:ascii="Calibri" w:hAnsi="Calibri"/>
                <w:sz w:val="20"/>
              </w:rPr>
              <w:t>Directie</w:t>
            </w:r>
          </w:p>
        </w:tc>
        <w:tc>
          <w:tcPr>
            <w:tcW w:type="dxa" w:w="1701"/>
          </w:tcPr>
          <w:p>
            <w:r/>
            <w:r>
              <w:rPr>
                <w:rFonts w:ascii="Calibri" w:hAnsi="Calibri"/>
                <w:sz w:val="20"/>
              </w:rPr>
              <w:t>Auditors</w:t>
            </w:r>
          </w:p>
        </w:tc>
        <w:tc>
          <w:tcPr>
            <w:tcW w:type="dxa" w:w="1701"/>
          </w:tcPr>
          <w:p>
            <w:r/>
            <w:r>
              <w:rPr>
                <w:rFonts w:ascii="Calibri" w:hAnsi="Calibri"/>
                <w:sz w:val="20"/>
              </w:rPr>
              <w:t>Lijnmanagement</w:t>
            </w:r>
          </w:p>
        </w:tc>
      </w:tr>
      <w:tr>
        <w:tc>
          <w:tcPr>
            <w:tcW w:type="dxa" w:w="1984"/>
            <w:shd w:fill="F8F9FA" w:val="clear"/>
          </w:tcPr>
          <w:p>
            <w:r/>
            <w:r>
              <w:rPr>
                <w:rFonts w:ascii="Calibri" w:hAnsi="Calibri"/>
                <w:sz w:val="20"/>
              </w:rPr>
              <w:t>Uitvoeren interne audits</w:t>
            </w:r>
          </w:p>
        </w:tc>
        <w:tc>
          <w:tcPr>
            <w:tcW w:type="dxa" w:w="1701"/>
            <w:shd w:fill="F8F9FA" w:val="clear"/>
          </w:tcPr>
          <w:p>
            <w:r/>
            <w:r>
              <w:rPr>
                <w:rFonts w:ascii="Calibri" w:hAnsi="Calibri"/>
                <w:sz w:val="20"/>
              </w:rPr>
              <w:t>Interne auditor(s)</w:t>
            </w:r>
          </w:p>
        </w:tc>
        <w:tc>
          <w:tcPr>
            <w:tcW w:type="dxa" w:w="1701"/>
            <w:shd w:fill="F8F9FA" w:val="clear"/>
          </w:tcPr>
          <w:p>
            <w:r/>
            <w:r>
              <w:rPr>
                <w:rFonts w:ascii="Calibri" w:hAnsi="Calibri"/>
                <w:sz w:val="20"/>
              </w:rPr>
              <w:t>HSE Manager</w:t>
            </w:r>
          </w:p>
        </w:tc>
        <w:tc>
          <w:tcPr>
            <w:tcW w:type="dxa" w:w="1701"/>
            <w:shd w:fill="F8F9FA" w:val="clear"/>
          </w:tcPr>
          <w:p>
            <w:r/>
            <w:r>
              <w:rPr>
                <w:rFonts w:ascii="Calibri" w:hAnsi="Calibri"/>
                <w:sz w:val="20"/>
              </w:rPr>
              <w:t>Lijnmanagement</w:t>
            </w:r>
          </w:p>
        </w:tc>
        <w:tc>
          <w:tcPr>
            <w:tcW w:type="dxa" w:w="1701"/>
            <w:shd w:fill="F8F9FA" w:val="clear"/>
          </w:tcPr>
          <w:p>
            <w:r/>
            <w:r>
              <w:rPr>
                <w:rFonts w:ascii="Calibri" w:hAnsi="Calibri"/>
                <w:sz w:val="20"/>
              </w:rPr>
              <w:t>Directie</w:t>
            </w:r>
          </w:p>
        </w:tc>
      </w:tr>
      <w:tr>
        <w:tc>
          <w:tcPr>
            <w:tcW w:type="dxa" w:w="1984"/>
          </w:tcPr>
          <w:p>
            <w:r/>
            <w:r>
              <w:rPr>
                <w:rFonts w:ascii="Calibri" w:hAnsi="Calibri"/>
                <w:sz w:val="20"/>
              </w:rPr>
              <w:t>Uitvoeren inspecties</w:t>
            </w:r>
          </w:p>
        </w:tc>
        <w:tc>
          <w:tcPr>
            <w:tcW w:type="dxa" w:w="1701"/>
          </w:tcPr>
          <w:p>
            <w:r/>
            <w:r>
              <w:rPr>
                <w:rFonts w:ascii="Calibri" w:hAnsi="Calibri"/>
                <w:sz w:val="20"/>
              </w:rPr>
              <w:t>HSE-adviseurs /</w:t>
              <w:br/>
              <w:t>Lijnmanagement</w:t>
            </w:r>
          </w:p>
        </w:tc>
        <w:tc>
          <w:tcPr>
            <w:tcW w:type="dxa" w:w="1701"/>
          </w:tcPr>
          <w:p>
            <w:r/>
            <w:r>
              <w:rPr>
                <w:rFonts w:ascii="Calibri" w:hAnsi="Calibri"/>
                <w:sz w:val="20"/>
              </w:rPr>
              <w:t>HSE Manager</w:t>
            </w:r>
          </w:p>
        </w:tc>
        <w:tc>
          <w:tcPr>
            <w:tcW w:type="dxa" w:w="1701"/>
          </w:tcPr>
          <w:p>
            <w:r/>
            <w:r>
              <w:rPr>
                <w:rFonts w:ascii="Calibri" w:hAnsi="Calibri"/>
                <w:sz w:val="20"/>
              </w:rPr>
              <w:t>Medewerkers</w:t>
            </w:r>
          </w:p>
        </w:tc>
        <w:tc>
          <w:tcPr>
            <w:tcW w:type="dxa" w:w="1701"/>
          </w:tcPr>
          <w:p>
            <w:r/>
            <w:r>
              <w:rPr>
                <w:rFonts w:ascii="Calibri" w:hAnsi="Calibri"/>
                <w:sz w:val="20"/>
              </w:rPr>
              <w:t>Directie</w:t>
            </w:r>
          </w:p>
        </w:tc>
      </w:tr>
      <w:tr>
        <w:tc>
          <w:tcPr>
            <w:tcW w:type="dxa" w:w="1984"/>
            <w:shd w:fill="F8F9FA" w:val="clear"/>
          </w:tcPr>
          <w:p>
            <w:r/>
            <w:r>
              <w:rPr>
                <w:rFonts w:ascii="Calibri" w:hAnsi="Calibri"/>
                <w:sz w:val="20"/>
              </w:rPr>
              <w:t>Beheer CAPA-register</w:t>
            </w:r>
          </w:p>
        </w:tc>
        <w:tc>
          <w:tcPr>
            <w:tcW w:type="dxa" w:w="1701"/>
            <w:shd w:fill="F8F9FA" w:val="clear"/>
          </w:tcPr>
          <w:p>
            <w:r/>
            <w:r>
              <w:rPr>
                <w:rFonts w:ascii="Calibri" w:hAnsi="Calibri"/>
                <w:sz w:val="20"/>
              </w:rPr>
              <w:t>HSE Manager</w:t>
            </w:r>
          </w:p>
        </w:tc>
        <w:tc>
          <w:tcPr>
            <w:tcW w:type="dxa" w:w="1701"/>
            <w:shd w:fill="F8F9FA" w:val="clear"/>
          </w:tcPr>
          <w:p>
            <w:r/>
            <w:r>
              <w:rPr>
                <w:rFonts w:ascii="Calibri" w:hAnsi="Calibri"/>
                <w:sz w:val="20"/>
              </w:rPr>
              <w:t>Directie</w:t>
            </w:r>
          </w:p>
        </w:tc>
        <w:tc>
          <w:tcPr>
            <w:tcW w:type="dxa" w:w="1701"/>
            <w:shd w:fill="F8F9FA" w:val="clear"/>
          </w:tcPr>
          <w:p>
            <w:r/>
            <w:r>
              <w:rPr>
                <w:rFonts w:ascii="Calibri" w:hAnsi="Calibri"/>
                <w:sz w:val="20"/>
              </w:rPr>
              <w:t>Proceseigenaren</w:t>
            </w:r>
          </w:p>
        </w:tc>
        <w:tc>
          <w:tcPr>
            <w:tcW w:type="dxa" w:w="1701"/>
            <w:shd w:fill="F8F9FA" w:val="clear"/>
          </w:tcPr>
          <w:p>
            <w:r/>
            <w:r>
              <w:rPr>
                <w:rFonts w:ascii="Calibri" w:hAnsi="Calibri"/>
                <w:sz w:val="20"/>
              </w:rPr>
              <w:t>Auditors</w:t>
            </w:r>
          </w:p>
        </w:tc>
      </w:tr>
      <w:tr>
        <w:tc>
          <w:tcPr>
            <w:tcW w:type="dxa" w:w="1984"/>
          </w:tcPr>
          <w:p>
            <w:r/>
            <w:r>
              <w:rPr>
                <w:rFonts w:ascii="Calibri" w:hAnsi="Calibri"/>
                <w:sz w:val="20"/>
              </w:rPr>
              <w:t>KPI monitoring</w:t>
            </w:r>
          </w:p>
        </w:tc>
        <w:tc>
          <w:tcPr>
            <w:tcW w:type="dxa" w:w="1701"/>
          </w:tcPr>
          <w:p>
            <w:r/>
            <w:r>
              <w:rPr>
                <w:rFonts w:ascii="Calibri" w:hAnsi="Calibri"/>
                <w:sz w:val="20"/>
              </w:rPr>
              <w:t>HSE Manager</w:t>
            </w:r>
          </w:p>
        </w:tc>
        <w:tc>
          <w:tcPr>
            <w:tcW w:type="dxa" w:w="1701"/>
          </w:tcPr>
          <w:p>
            <w:r/>
            <w:r>
              <w:rPr>
                <w:rFonts w:ascii="Calibri" w:hAnsi="Calibri"/>
                <w:sz w:val="20"/>
              </w:rPr>
              <w:t>Directie</w:t>
            </w:r>
          </w:p>
        </w:tc>
        <w:tc>
          <w:tcPr>
            <w:tcW w:type="dxa" w:w="1701"/>
          </w:tcPr>
          <w:p>
            <w:r/>
            <w:r>
              <w:rPr>
                <w:rFonts w:ascii="Calibri" w:hAnsi="Calibri"/>
                <w:sz w:val="20"/>
              </w:rPr>
              <w:t>Data-analisten</w:t>
            </w:r>
          </w:p>
        </w:tc>
        <w:tc>
          <w:tcPr>
            <w:tcW w:type="dxa" w:w="1701"/>
          </w:tcPr>
          <w:p>
            <w:r/>
            <w:r>
              <w:rPr>
                <w:rFonts w:ascii="Calibri" w:hAnsi="Calibri"/>
                <w:sz w:val="20"/>
              </w:rPr>
              <w:t>Lijnmanagement</w:t>
            </w:r>
          </w:p>
        </w:tc>
      </w:tr>
      <w:tr>
        <w:tc>
          <w:tcPr>
            <w:tcW w:type="dxa" w:w="1984"/>
            <w:shd w:fill="F8F9FA" w:val="clear"/>
          </w:tcPr>
          <w:p>
            <w:r/>
            <w:r>
              <w:rPr>
                <w:rFonts w:ascii="Calibri" w:hAnsi="Calibri"/>
                <w:sz w:val="20"/>
              </w:rPr>
              <w:t>Management Review</w:t>
            </w:r>
          </w:p>
        </w:tc>
        <w:tc>
          <w:tcPr>
            <w:tcW w:type="dxa" w:w="1701"/>
            <w:shd w:fill="F8F9FA" w:val="clear"/>
          </w:tcPr>
          <w:p>
            <w:r/>
            <w:r>
              <w:rPr>
                <w:rFonts w:ascii="Calibri" w:hAnsi="Calibri"/>
                <w:sz w:val="20"/>
              </w:rPr>
              <w:t>Directie (CEO)</w:t>
            </w:r>
          </w:p>
        </w:tc>
        <w:tc>
          <w:tcPr>
            <w:tcW w:type="dxa" w:w="1701"/>
            <w:shd w:fill="F8F9FA" w:val="clear"/>
          </w:tcPr>
          <w:p>
            <w:r/>
            <w:r>
              <w:rPr>
                <w:rFonts w:ascii="Calibri" w:hAnsi="Calibri"/>
                <w:sz w:val="20"/>
              </w:rPr>
              <w:t>Directie</w:t>
            </w:r>
          </w:p>
        </w:tc>
        <w:tc>
          <w:tcPr>
            <w:tcW w:type="dxa" w:w="1701"/>
            <w:shd w:fill="F8F9FA" w:val="clear"/>
          </w:tcPr>
          <w:p>
            <w:r/>
            <w:r>
              <w:rPr>
                <w:rFonts w:ascii="Calibri" w:hAnsi="Calibri"/>
                <w:sz w:val="20"/>
              </w:rPr>
              <w:t>HSE Manager,</w:t>
              <w:br/>
              <w:t>Audit Manager</w:t>
            </w:r>
          </w:p>
        </w:tc>
        <w:tc>
          <w:tcPr>
            <w:tcW w:type="dxa" w:w="1701"/>
            <w:shd w:fill="F8F9FA" w:val="clear"/>
          </w:tcPr>
          <w:p>
            <w:r/>
            <w:r>
              <w:rPr>
                <w:rFonts w:ascii="Calibri" w:hAnsi="Calibri"/>
                <w:sz w:val="20"/>
              </w:rPr>
              <w:t>Alle afdelingen</w:t>
            </w:r>
          </w:p>
        </w:tc>
      </w:tr>
      <w:tr>
        <w:tc>
          <w:tcPr>
            <w:tcW w:type="dxa" w:w="1984"/>
          </w:tcPr>
          <w:p>
            <w:r/>
            <w:r>
              <w:rPr>
                <w:rFonts w:ascii="Calibri" w:hAnsi="Calibri"/>
                <w:sz w:val="20"/>
              </w:rPr>
              <w:t>Opvolging bevindingen</w:t>
            </w:r>
          </w:p>
        </w:tc>
        <w:tc>
          <w:tcPr>
            <w:tcW w:type="dxa" w:w="1701"/>
          </w:tcPr>
          <w:p>
            <w:r/>
            <w:r>
              <w:rPr>
                <w:rFonts w:ascii="Calibri" w:hAnsi="Calibri"/>
                <w:sz w:val="20"/>
              </w:rPr>
              <w:t>Proceseigenaren</w:t>
            </w:r>
          </w:p>
        </w:tc>
        <w:tc>
          <w:tcPr>
            <w:tcW w:type="dxa" w:w="1701"/>
          </w:tcPr>
          <w:p>
            <w:r/>
            <w:r>
              <w:rPr>
                <w:rFonts w:ascii="Calibri" w:hAnsi="Calibri"/>
                <w:sz w:val="20"/>
              </w:rPr>
              <w:t>Lijnmanagement</w:t>
            </w:r>
          </w:p>
        </w:tc>
        <w:tc>
          <w:tcPr>
            <w:tcW w:type="dxa" w:w="1701"/>
          </w:tcPr>
          <w:p>
            <w:r/>
            <w:r>
              <w:rPr>
                <w:rFonts w:ascii="Calibri" w:hAnsi="Calibri"/>
                <w:sz w:val="20"/>
              </w:rPr>
              <w:t>HSE Manager</w:t>
            </w:r>
          </w:p>
        </w:tc>
        <w:tc>
          <w:tcPr>
            <w:tcW w:type="dxa" w:w="1701"/>
          </w:tcPr>
          <w:p>
            <w:r/>
            <w:r>
              <w:rPr>
                <w:rFonts w:ascii="Calibri" w:hAnsi="Calibri"/>
                <w:sz w:val="20"/>
              </w:rPr>
              <w:t>Directie</w:t>
            </w:r>
          </w:p>
        </w:tc>
      </w:tr>
      <w:tr>
        <w:tc>
          <w:tcPr>
            <w:tcW w:type="dxa" w:w="1984"/>
            <w:shd w:fill="F8F9FA" w:val="clear"/>
          </w:tcPr>
          <w:p>
            <w:r/>
            <w:r>
              <w:rPr>
                <w:rFonts w:ascii="Calibri" w:hAnsi="Calibri"/>
                <w:sz w:val="20"/>
              </w:rPr>
              <w:t>Externe audit-begeleiding</w:t>
            </w:r>
          </w:p>
        </w:tc>
        <w:tc>
          <w:tcPr>
            <w:tcW w:type="dxa" w:w="1701"/>
            <w:shd w:fill="F8F9FA" w:val="clear"/>
          </w:tcPr>
          <w:p>
            <w:r/>
            <w:r>
              <w:rPr>
                <w:rFonts w:ascii="Calibri" w:hAnsi="Calibri"/>
                <w:sz w:val="20"/>
              </w:rPr>
              <w:t>HSE Manager</w:t>
            </w:r>
          </w:p>
        </w:tc>
        <w:tc>
          <w:tcPr>
            <w:tcW w:type="dxa" w:w="1701"/>
            <w:shd w:fill="F8F9FA" w:val="clear"/>
          </w:tcPr>
          <w:p>
            <w:r/>
            <w:r>
              <w:rPr>
                <w:rFonts w:ascii="Calibri" w:hAnsi="Calibri"/>
                <w:sz w:val="20"/>
              </w:rPr>
              <w:t>Directie</w:t>
            </w:r>
          </w:p>
        </w:tc>
        <w:tc>
          <w:tcPr>
            <w:tcW w:type="dxa" w:w="1701"/>
            <w:shd w:fill="F8F9FA" w:val="clear"/>
          </w:tcPr>
          <w:p>
            <w:r/>
            <w:r>
              <w:rPr>
                <w:rFonts w:ascii="Calibri" w:hAnsi="Calibri"/>
                <w:sz w:val="20"/>
              </w:rPr>
              <w:t>Lijnmanagement</w:t>
            </w:r>
          </w:p>
        </w:tc>
        <w:tc>
          <w:tcPr>
            <w:tcW w:type="dxa" w:w="1701"/>
            <w:shd w:fill="F8F9FA" w:val="clear"/>
          </w:tcPr>
          <w:p>
            <w:r/>
            <w:r>
              <w:rPr>
                <w:rFonts w:ascii="Calibri" w:hAnsi="Calibri"/>
                <w:sz w:val="20"/>
              </w:rPr>
              <w:t>OR</w:t>
            </w:r>
          </w:p>
        </w:tc>
      </w:tr>
    </w:tbl>
    <w:p>
      <w:r>
        <w:br w:type="page"/>
      </w:r>
    </w:p>
    <w:p>
      <w:pPr>
        <w:pStyle w:val="Heading1"/>
      </w:pPr>
      <w:r>
        <w:rPr>
          <w:color w:val="003366"/>
        </w:rPr>
        <w:t>Bronnenlijst</w:t>
      </w:r>
    </w:p>
    <w:p>
      <w:pPr>
        <w:spacing w:after="120"/>
      </w:pPr>
      <w:r>
        <w:rPr>
          <w:sz w:val="20"/>
        </w:rPr>
        <w:t>[1] Europese Unie. (2012). Richtlijn 2012/18/EU (Seveso III) betreffende de beheersing van gevaren voor zware ongevallen waarbij gevaarlijke stoffen betrokken zijn. Publicatieblad van de Europese Unie, L 197/1.</w:t>
      </w:r>
    </w:p>
    <w:p>
      <w:pPr>
        <w:spacing w:after="120"/>
      </w:pPr>
      <w:r>
        <w:rPr>
          <w:sz w:val="20"/>
        </w:rPr>
        <w:t>[2] Ministerie van Infrastructuur en Waterstaat. (1999, laatstelijk gewijzigd 2015). Besluit risico's zware ongevallen (BRZO 1999). Staatsblad van het Koninkrijk der Nederlanden.</w:t>
      </w:r>
    </w:p>
    <w:p>
      <w:pPr>
        <w:spacing w:after="120"/>
      </w:pPr>
      <w:r>
        <w:rPr>
          <w:sz w:val="20"/>
        </w:rPr>
        <w:t>[3] NEN. (2020). NTA 8620:2020 — Veiligheidsbrondocument: Richtlijn voor het opstellen van een veiligheidsbrondocument. Nederlandse Normalisatie-instituut.</w:t>
      </w:r>
    </w:p>
    <w:p>
      <w:pPr>
        <w:spacing w:after="120"/>
      </w:pPr>
      <w:r>
        <w:rPr>
          <w:sz w:val="20"/>
        </w:rPr>
        <w:t>[4] ISO. (2018). ISO 45001:2018 — Occupational health and safety management systems — Requirements with guidance for use. International Organization for Standardization.</w:t>
      </w:r>
    </w:p>
    <w:p>
      <w:pPr>
        <w:spacing w:after="120"/>
      </w:pPr>
      <w:r>
        <w:rPr>
          <w:sz w:val="20"/>
        </w:rPr>
        <w:t>[5] ISO. (2015). ISO 14001:2015 — Environmental management systems — Requirements with guidance for use. International Organization for Standardization.</w:t>
      </w:r>
    </w:p>
    <w:p>
      <w:pPr>
        <w:spacing w:after="120"/>
      </w:pPr>
      <w:r>
        <w:rPr>
          <w:sz w:val="20"/>
        </w:rPr>
        <w:t>[6] ISO. (2018). ISO 19011:2018 — Guidelines for auditing management systems. International Organization for Standardization.</w:t>
      </w:r>
    </w:p>
    <w:p>
      <w:r>
        <w:br w:type="page"/>
      </w:r>
    </w:p>
    <w:p>
      <w:pPr>
        <w:pStyle w:val="Heading1"/>
      </w:pPr>
      <w:r>
        <w:rPr>
          <w:color w:val="003366"/>
        </w:rPr>
        <w:t>TierVerify Log</w:t>
      </w:r>
    </w:p>
    <w:p>
      <w:r>
        <w:t>Onderstaande TierVerify log documenteert de verificatiestappen die zijn uitgevoerd ter borging van de kwaliteit en bruikbaarheid van dit document.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567"/>
            <w:shd w:fill="003366" w:val="clear"/>
          </w:tcPr>
          <w:p>
            <w:pPr>
              <w:jc w:val="center"/>
            </w:pPr>
            <w:r/>
            <w:r>
              <w:rPr>
                <w:rFonts w:ascii="Calibri" w:hAnsi="Calibri"/>
                <w:b/>
                <w:color w:val="FFFFFF"/>
                <w:sz w:val="20"/>
              </w:rPr>
              <w:t>#</w:t>
            </w:r>
          </w:p>
        </w:tc>
        <w:tc>
          <w:tcPr>
            <w:tcW w:type="dxa" w:w="3969"/>
            <w:shd w:fill="003366" w:val="clear"/>
          </w:tcPr>
          <w:p>
            <w:pPr>
              <w:jc w:val="center"/>
            </w:pPr>
            <w:r/>
            <w:r>
              <w:rPr>
                <w:rFonts w:ascii="Calibri" w:hAnsi="Calibri"/>
                <w:b/>
                <w:color w:val="FFFFFF"/>
                <w:sz w:val="20"/>
              </w:rPr>
              <w:t>Verificatie</w:t>
            </w:r>
          </w:p>
        </w:tc>
        <w:tc>
          <w:tcPr>
            <w:tcW w:type="dxa" w:w="2551"/>
            <w:shd w:fill="003366" w:val="clear"/>
          </w:tcPr>
          <w:p>
            <w:pPr>
              <w:jc w:val="center"/>
            </w:pPr>
            <w:r/>
            <w:r>
              <w:rPr>
                <w:rFonts w:ascii="Calibri" w:hAnsi="Calibri"/>
                <w:b/>
                <w:color w:val="FFFFFF"/>
                <w:sz w:val="20"/>
              </w:rPr>
              <w:t>Bron</w:t>
            </w:r>
          </w:p>
        </w:tc>
        <w:tc>
          <w:tcPr>
            <w:tcW w:type="dxa" w:w="1701"/>
            <w:shd w:fill="003366" w:val="clear"/>
          </w:tcPr>
          <w:p>
            <w:pPr>
              <w:jc w:val="center"/>
            </w:pPr>
            <w:r/>
            <w:r>
              <w:rPr>
                <w:rFonts w:ascii="Calibri" w:hAnsi="Calibri"/>
                <w:b/>
                <w:color w:val="FFFFFF"/>
                <w:sz w:val="20"/>
              </w:rPr>
              <w:t>Status</w:t>
            </w:r>
          </w:p>
        </w:tc>
      </w:tr>
      <w:tr>
        <w:tc>
          <w:tcPr>
            <w:tcW w:type="dxa" w:w="567"/>
          </w:tcPr>
          <w:p>
            <w:r/>
            <w:r>
              <w:rPr>
                <w:rFonts w:ascii="Calibri" w:hAnsi="Calibri"/>
                <w:sz w:val="20"/>
              </w:rPr>
              <w:t>1</w:t>
            </w:r>
          </w:p>
        </w:tc>
        <w:tc>
          <w:tcPr>
            <w:tcW w:type="dxa" w:w="3969"/>
          </w:tcPr>
          <w:p>
            <w:r/>
            <w:r>
              <w:rPr>
                <w:rFonts w:ascii="Calibri" w:hAnsi="Calibri"/>
                <w:sz w:val="20"/>
              </w:rPr>
              <w:t>Wettelijk kader: Seveso III art. 12(1)(g) correct gerefereerd</w:t>
            </w:r>
          </w:p>
        </w:tc>
        <w:tc>
          <w:tcPr>
            <w:tcW w:type="dxa" w:w="2551"/>
          </w:tcPr>
          <w:p>
            <w:r/>
            <w:r>
              <w:rPr>
                <w:rFonts w:ascii="Calibri" w:hAnsi="Calibri"/>
                <w:sz w:val="20"/>
              </w:rPr>
              <w:t>EUR-Lex, 2012/18/EU</w:t>
            </w:r>
          </w:p>
        </w:tc>
        <w:tc>
          <w:tcPr>
            <w:tcW w:type="dxa" w:w="1701"/>
          </w:tcPr>
          <w:p>
            <w:r/>
            <w:r>
              <w:rPr>
                <w:rFonts w:ascii="Calibri" w:hAnsi="Calibri"/>
                <w:sz w:val="20"/>
              </w:rPr>
              <w:t>✅ Geverifieerd</w:t>
            </w:r>
          </w:p>
        </w:tc>
      </w:tr>
      <w:tr>
        <w:tc>
          <w:tcPr>
            <w:tcW w:type="dxa" w:w="567"/>
            <w:shd w:fill="F8F9FA" w:val="clear"/>
          </w:tcPr>
          <w:p>
            <w:r/>
            <w:r>
              <w:rPr>
                <w:rFonts w:ascii="Calibri" w:hAnsi="Calibri"/>
                <w:sz w:val="20"/>
              </w:rPr>
              <w:t>2</w:t>
            </w:r>
          </w:p>
        </w:tc>
        <w:tc>
          <w:tcPr>
            <w:tcW w:type="dxa" w:w="3969"/>
            <w:shd w:fill="F8F9FA" w:val="clear"/>
          </w:tcPr>
          <w:p>
            <w:r/>
            <w:r>
              <w:rPr>
                <w:rFonts w:ascii="Calibri" w:hAnsi="Calibri"/>
                <w:sz w:val="20"/>
              </w:rPr>
              <w:t>BRZO 1999 kolom VII eisen correct weergegeven</w:t>
            </w:r>
          </w:p>
        </w:tc>
        <w:tc>
          <w:tcPr>
            <w:tcW w:type="dxa" w:w="2551"/>
            <w:shd w:fill="F8F9FA" w:val="clear"/>
          </w:tcPr>
          <w:p>
            <w:r/>
            <w:r>
              <w:rPr>
                <w:rFonts w:ascii="Calibri" w:hAnsi="Calibri"/>
                <w:sz w:val="20"/>
              </w:rPr>
              <w:t>Overheid.nl, BRZO 1999</w:t>
            </w:r>
          </w:p>
        </w:tc>
        <w:tc>
          <w:tcPr>
            <w:tcW w:type="dxa" w:w="1701"/>
            <w:shd w:fill="F8F9FA" w:val="clear"/>
          </w:tcPr>
          <w:p>
            <w:r/>
            <w:r>
              <w:rPr>
                <w:rFonts w:ascii="Calibri" w:hAnsi="Calibri"/>
                <w:sz w:val="20"/>
              </w:rPr>
              <w:t>✅ Geverifieerd</w:t>
            </w:r>
          </w:p>
        </w:tc>
      </w:tr>
      <w:tr>
        <w:tc>
          <w:tcPr>
            <w:tcW w:type="dxa" w:w="567"/>
          </w:tcPr>
          <w:p>
            <w:r/>
            <w:r>
              <w:rPr>
                <w:rFonts w:ascii="Calibri" w:hAnsi="Calibri"/>
                <w:sz w:val="20"/>
              </w:rPr>
              <w:t>3</w:t>
            </w:r>
          </w:p>
        </w:tc>
        <w:tc>
          <w:tcPr>
            <w:tcW w:type="dxa" w:w="3969"/>
          </w:tcPr>
          <w:p>
            <w:r/>
            <w:r>
              <w:rPr>
                <w:rFonts w:ascii="Calibri" w:hAnsi="Calibri"/>
                <w:sz w:val="20"/>
              </w:rPr>
              <w:t>NTA 8620 par. 9 referentie correct</w:t>
            </w:r>
          </w:p>
        </w:tc>
        <w:tc>
          <w:tcPr>
            <w:tcW w:type="dxa" w:w="2551"/>
          </w:tcPr>
          <w:p>
            <w:r/>
            <w:r>
              <w:rPr>
                <w:rFonts w:ascii="Calibri" w:hAnsi="Calibri"/>
                <w:sz w:val="20"/>
              </w:rPr>
              <w:t>NEN NTA 8620:2020</w:t>
            </w:r>
          </w:p>
        </w:tc>
        <w:tc>
          <w:tcPr>
            <w:tcW w:type="dxa" w:w="1701"/>
          </w:tcPr>
          <w:p>
            <w:r/>
            <w:r>
              <w:rPr>
                <w:rFonts w:ascii="Calibri" w:hAnsi="Calibri"/>
                <w:sz w:val="20"/>
              </w:rPr>
              <w:t>✅ Geverifieerd</w:t>
            </w:r>
          </w:p>
        </w:tc>
      </w:tr>
      <w:tr>
        <w:tc>
          <w:tcPr>
            <w:tcW w:type="dxa" w:w="567"/>
            <w:shd w:fill="F8F9FA" w:val="clear"/>
          </w:tcPr>
          <w:p>
            <w:r/>
            <w:r>
              <w:rPr>
                <w:rFonts w:ascii="Calibri" w:hAnsi="Calibri"/>
                <w:sz w:val="20"/>
              </w:rPr>
              <w:t>4</w:t>
            </w:r>
          </w:p>
        </w:tc>
        <w:tc>
          <w:tcPr>
            <w:tcW w:type="dxa" w:w="3969"/>
            <w:shd w:fill="F8F9FA" w:val="clear"/>
          </w:tcPr>
          <w:p>
            <w:r/>
            <w:r>
              <w:rPr>
                <w:rFonts w:ascii="Calibri" w:hAnsi="Calibri"/>
                <w:sz w:val="20"/>
              </w:rPr>
              <w:t>ISO 45001:2018 §9 structuur correct</w:t>
            </w:r>
          </w:p>
        </w:tc>
        <w:tc>
          <w:tcPr>
            <w:tcW w:type="dxa" w:w="2551"/>
            <w:shd w:fill="F8F9FA" w:val="clear"/>
          </w:tcPr>
          <w:p>
            <w:r/>
            <w:r>
              <w:rPr>
                <w:rFonts w:ascii="Calibri" w:hAnsi="Calibri"/>
                <w:sz w:val="20"/>
              </w:rPr>
              <w:t>ISO 45001:2018</w:t>
            </w:r>
          </w:p>
        </w:tc>
        <w:tc>
          <w:tcPr>
            <w:tcW w:type="dxa" w:w="1701"/>
            <w:shd w:fill="F8F9FA" w:val="clear"/>
          </w:tcPr>
          <w:p>
            <w:r/>
            <w:r>
              <w:rPr>
                <w:rFonts w:ascii="Calibri" w:hAnsi="Calibri"/>
                <w:sz w:val="20"/>
              </w:rPr>
              <w:t>✅ Geverifieerd</w:t>
            </w:r>
          </w:p>
        </w:tc>
      </w:tr>
      <w:tr>
        <w:tc>
          <w:tcPr>
            <w:tcW w:type="dxa" w:w="567"/>
          </w:tcPr>
          <w:p>
            <w:r/>
            <w:r>
              <w:rPr>
                <w:rFonts w:ascii="Calibri" w:hAnsi="Calibri"/>
                <w:sz w:val="20"/>
              </w:rPr>
              <w:t>5</w:t>
            </w:r>
          </w:p>
        </w:tc>
        <w:tc>
          <w:tcPr>
            <w:tcW w:type="dxa" w:w="3969"/>
          </w:tcPr>
          <w:p>
            <w:r/>
            <w:r>
              <w:rPr>
                <w:rFonts w:ascii="Calibri" w:hAnsi="Calibri"/>
                <w:sz w:val="20"/>
              </w:rPr>
              <w:t>ISO 14001:2015 §9 referentie correct</w:t>
            </w:r>
          </w:p>
        </w:tc>
        <w:tc>
          <w:tcPr>
            <w:tcW w:type="dxa" w:w="2551"/>
          </w:tcPr>
          <w:p>
            <w:r/>
            <w:r>
              <w:rPr>
                <w:rFonts w:ascii="Calibri" w:hAnsi="Calibri"/>
                <w:sz w:val="20"/>
              </w:rPr>
              <w:t>ISO 14001:2015</w:t>
            </w:r>
          </w:p>
        </w:tc>
        <w:tc>
          <w:tcPr>
            <w:tcW w:type="dxa" w:w="1701"/>
          </w:tcPr>
          <w:p>
            <w:r/>
            <w:r>
              <w:rPr>
                <w:rFonts w:ascii="Calibri" w:hAnsi="Calibri"/>
                <w:sz w:val="20"/>
              </w:rPr>
              <w:t>✅ Geverifieerd</w:t>
            </w:r>
          </w:p>
        </w:tc>
      </w:tr>
      <w:tr>
        <w:tc>
          <w:tcPr>
            <w:tcW w:type="dxa" w:w="567"/>
            <w:shd w:fill="F8F9FA" w:val="clear"/>
          </w:tcPr>
          <w:p>
            <w:r/>
            <w:r>
              <w:rPr>
                <w:rFonts w:ascii="Calibri" w:hAnsi="Calibri"/>
                <w:sz w:val="20"/>
              </w:rPr>
              <w:t>6</w:t>
            </w:r>
          </w:p>
        </w:tc>
        <w:tc>
          <w:tcPr>
            <w:tcW w:type="dxa" w:w="3969"/>
            <w:shd w:fill="F8F9FA" w:val="clear"/>
          </w:tcPr>
          <w:p>
            <w:r/>
            <w:r>
              <w:rPr>
                <w:rFonts w:ascii="Calibri" w:hAnsi="Calibri"/>
                <w:sz w:val="20"/>
              </w:rPr>
              <w:t>ISO 19011:2018 referentie correct</w:t>
            </w:r>
          </w:p>
        </w:tc>
        <w:tc>
          <w:tcPr>
            <w:tcW w:type="dxa" w:w="2551"/>
            <w:shd w:fill="F8F9FA" w:val="clear"/>
          </w:tcPr>
          <w:p>
            <w:r/>
            <w:r>
              <w:rPr>
                <w:rFonts w:ascii="Calibri" w:hAnsi="Calibri"/>
                <w:sz w:val="20"/>
              </w:rPr>
              <w:t>ISO 19011:2018</w:t>
            </w:r>
          </w:p>
        </w:tc>
        <w:tc>
          <w:tcPr>
            <w:tcW w:type="dxa" w:w="1701"/>
            <w:shd w:fill="F8F9FA" w:val="clear"/>
          </w:tcPr>
          <w:p>
            <w:r/>
            <w:r>
              <w:rPr>
                <w:rFonts w:ascii="Calibri" w:hAnsi="Calibri"/>
                <w:sz w:val="20"/>
              </w:rPr>
              <w:t>✅ Geverifieerd</w:t>
            </w:r>
          </w:p>
        </w:tc>
      </w:tr>
      <w:tr>
        <w:tc>
          <w:tcPr>
            <w:tcW w:type="dxa" w:w="567"/>
          </w:tcPr>
          <w:p>
            <w:r/>
            <w:r>
              <w:rPr>
                <w:rFonts w:ascii="Calibri" w:hAnsi="Calibri"/>
                <w:sz w:val="20"/>
              </w:rPr>
              <w:t>7</w:t>
            </w:r>
          </w:p>
        </w:tc>
        <w:tc>
          <w:tcPr>
            <w:tcW w:type="dxa" w:w="3969"/>
          </w:tcPr>
          <w:p>
            <w:r/>
            <w:r>
              <w:rPr>
                <w:rFonts w:ascii="Calibri" w:hAnsi="Calibri"/>
                <w:sz w:val="20"/>
              </w:rPr>
              <w:t>KPI's afgeleid van NTA 8620 en ISO 45001 eisen</w:t>
            </w:r>
          </w:p>
        </w:tc>
        <w:tc>
          <w:tcPr>
            <w:tcW w:type="dxa" w:w="2551"/>
          </w:tcPr>
          <w:p>
            <w:r/>
            <w:r>
              <w:rPr>
                <w:rFonts w:ascii="Calibri" w:hAnsi="Calibri"/>
                <w:sz w:val="20"/>
              </w:rPr>
              <w:t>NTA 8620 / ISO 45001</w:t>
            </w:r>
          </w:p>
        </w:tc>
        <w:tc>
          <w:tcPr>
            <w:tcW w:type="dxa" w:w="1701"/>
          </w:tcPr>
          <w:p>
            <w:r/>
            <w:r>
              <w:rPr>
                <w:rFonts w:ascii="Calibri" w:hAnsi="Calibri"/>
                <w:sz w:val="20"/>
              </w:rPr>
              <w:t>✅ Geverifieerd</w:t>
            </w:r>
          </w:p>
        </w:tc>
      </w:tr>
      <w:tr>
        <w:tc>
          <w:tcPr>
            <w:tcW w:type="dxa" w:w="567"/>
            <w:shd w:fill="F8F9FA" w:val="clear"/>
          </w:tcPr>
          <w:p>
            <w:r/>
            <w:r>
              <w:rPr>
                <w:rFonts w:ascii="Calibri" w:hAnsi="Calibri"/>
                <w:sz w:val="20"/>
              </w:rPr>
              <w:t>8</w:t>
            </w:r>
          </w:p>
        </w:tc>
        <w:tc>
          <w:tcPr>
            <w:tcW w:type="dxa" w:w="3969"/>
            <w:shd w:fill="F8F9FA" w:val="clear"/>
          </w:tcPr>
          <w:p>
            <w:r/>
            <w:r>
              <w:rPr>
                <w:rFonts w:ascii="Calibri" w:hAnsi="Calibri"/>
                <w:sz w:val="20"/>
              </w:rPr>
              <w:t>Interactie-matrix dekt alle 7 VBS-elementen</w:t>
            </w:r>
          </w:p>
        </w:tc>
        <w:tc>
          <w:tcPr>
            <w:tcW w:type="dxa" w:w="2551"/>
            <w:shd w:fill="F8F9FA" w:val="clear"/>
          </w:tcPr>
          <w:p>
            <w:r/>
            <w:r>
              <w:rPr>
                <w:rFonts w:ascii="Calibri" w:hAnsi="Calibri"/>
                <w:sz w:val="20"/>
              </w:rPr>
              <w:t>NTA 8620 structuur</w:t>
            </w:r>
          </w:p>
        </w:tc>
        <w:tc>
          <w:tcPr>
            <w:tcW w:type="dxa" w:w="1701"/>
            <w:shd w:fill="F8F9FA" w:val="clear"/>
          </w:tcPr>
          <w:p>
            <w:r/>
            <w:r>
              <w:rPr>
                <w:rFonts w:ascii="Calibri" w:hAnsi="Calibri"/>
                <w:sz w:val="20"/>
              </w:rPr>
              <w:t>✅ Geverifieerd</w:t>
            </w:r>
          </w:p>
        </w:tc>
      </w:tr>
      <w:tr>
        <w:tc>
          <w:tcPr>
            <w:tcW w:type="dxa" w:w="567"/>
          </w:tcPr>
          <w:p>
            <w:r/>
            <w:r>
              <w:rPr>
                <w:rFonts w:ascii="Calibri" w:hAnsi="Calibri"/>
                <w:sz w:val="20"/>
              </w:rPr>
              <w:t>9</w:t>
            </w:r>
          </w:p>
        </w:tc>
        <w:tc>
          <w:tcPr>
            <w:tcW w:type="dxa" w:w="3969"/>
          </w:tcPr>
          <w:p>
            <w:r/>
            <w:r>
              <w:rPr>
                <w:rFonts w:ascii="Calibri" w:hAnsi="Calibri"/>
                <w:sz w:val="20"/>
              </w:rPr>
              <w:t>RACI-overzicht consistent met ISO 45001 rollen</w:t>
            </w:r>
          </w:p>
        </w:tc>
        <w:tc>
          <w:tcPr>
            <w:tcW w:type="dxa" w:w="2551"/>
          </w:tcPr>
          <w:p>
            <w:r/>
            <w:r>
              <w:rPr>
                <w:rFonts w:ascii="Calibri" w:hAnsi="Calibri"/>
                <w:sz w:val="20"/>
              </w:rPr>
              <w:t>ISO 45001:2018 §5.3</w:t>
            </w:r>
          </w:p>
        </w:tc>
        <w:tc>
          <w:tcPr>
            <w:tcW w:type="dxa" w:w="1701"/>
          </w:tcPr>
          <w:p>
            <w:r/>
            <w:r>
              <w:rPr>
                <w:rFonts w:ascii="Calibri" w:hAnsi="Calibri"/>
                <w:sz w:val="20"/>
              </w:rPr>
              <w:t>✅ Geverifieerd</w:t>
            </w:r>
          </w:p>
        </w:tc>
      </w:tr>
      <w:tr>
        <w:tc>
          <w:tcPr>
            <w:tcW w:type="dxa" w:w="567"/>
            <w:shd w:fill="F8F9FA" w:val="clear"/>
          </w:tcPr>
          <w:p>
            <w:r/>
            <w:r>
              <w:rPr>
                <w:rFonts w:ascii="Calibri" w:hAnsi="Calibri"/>
                <w:sz w:val="20"/>
              </w:rPr>
              <w:t>10</w:t>
            </w:r>
          </w:p>
        </w:tc>
        <w:tc>
          <w:tcPr>
            <w:tcW w:type="dxa" w:w="3969"/>
            <w:shd w:fill="F8F9FA" w:val="clear"/>
          </w:tcPr>
          <w:p>
            <w:r/>
            <w:r>
              <w:rPr>
                <w:rFonts w:ascii="Calibri" w:hAnsi="Calibri"/>
                <w:sz w:val="20"/>
              </w:rPr>
              <w:t>Definities conform ISO 19011 en NTA 8620</w:t>
            </w:r>
          </w:p>
        </w:tc>
        <w:tc>
          <w:tcPr>
            <w:tcW w:type="dxa" w:w="2551"/>
            <w:shd w:fill="F8F9FA" w:val="clear"/>
          </w:tcPr>
          <w:p>
            <w:r/>
            <w:r>
              <w:rPr>
                <w:rFonts w:ascii="Calibri" w:hAnsi="Calibri"/>
                <w:sz w:val="20"/>
              </w:rPr>
              <w:t>ISO 19011 / NTA 8620</w:t>
            </w:r>
          </w:p>
        </w:tc>
        <w:tc>
          <w:tcPr>
            <w:tcW w:type="dxa" w:w="1701"/>
            <w:shd w:fill="F8F9FA" w:val="clear"/>
          </w:tcPr>
          <w:p>
            <w:r/>
            <w:r>
              <w:rPr>
                <w:rFonts w:ascii="Calibri" w:hAnsi="Calibri"/>
                <w:sz w:val="20"/>
              </w:rPr>
              <w:t>✅ Geverifieerd</w:t>
            </w:r>
          </w:p>
        </w:tc>
      </w:tr>
    </w:tbl>
    <w:p/>
    <w:p>
      <w:r>
        <w:rPr>
          <w:i/>
          <w:color w:val="374151"/>
          <w:sz w:val="18"/>
        </w:rPr>
        <w:t>Document gegenereerd op: 29 april 2026 | Auteur: JvG Consultancy | Model: GLM-5.1 | Tier: 2 (Bronnenverificatie)</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sz w:val="18"/>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