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rPr>
          <w:b/>
          <w:color w:val="003366"/>
          <w:sz w:val="56"/>
        </w:rPr>
        <w:t>JvG Consultancy</w:t>
      </w:r>
    </w:p>
    <w:p>
      <w:pPr>
        <w:jc w:val="center"/>
      </w:pPr>
      <w:r>
        <w:rPr>
          <w:color w:val="6B7280"/>
          <w:sz w:val="28"/>
        </w:rPr>
        <w:t>Safety • Governance • Advisory</w:t>
      </w:r>
    </w:p>
    <w:p/>
    <w:p>
      <w:pPr>
        <w:jc w:val="center"/>
      </w:pPr>
      <w:r>
        <w:rPr>
          <w:b/>
          <w:color w:val="003366"/>
          <w:sz w:val="44"/>
        </w:rPr>
        <w:t>Management of Change</w:t>
      </w:r>
    </w:p>
    <w:p>
      <w:pPr>
        <w:jc w:val="center"/>
      </w:pPr>
      <w:r>
        <w:rPr>
          <w:color w:val="003366"/>
          <w:sz w:val="40"/>
        </w:rPr>
        <w:t>RASCI Rollenmatrix</w:t>
      </w:r>
    </w:p>
    <w:p>
      <w:pPr>
        <w:jc w:val="center"/>
      </w:pPr>
      <w:r>
        <w:rPr>
          <w:color w:val="6B7280"/>
          <w:sz w:val="26"/>
        </w:rPr>
        <w:t>BRZO Element IV — VBS Element 5</w:t>
      </w:r>
    </w:p>
    <w:p>
      <w:pPr>
        <w:jc w:val="center"/>
      </w:pPr>
      <w:r>
        <w:rPr>
          <w:b/>
          <w:color w:val="003366"/>
          <w:sz w:val="32"/>
        </w:rPr>
        <w:t>Phoenix Metals</w:t>
      </w:r>
    </w:p>
    <w:p/>
    <w:p/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003366"/>
                <w:sz w:val="20"/>
              </w:rPr>
              <w:t>Project: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Phoenix Metals — VBS Element 5: Management of Change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003366"/>
                <w:sz w:val="20"/>
              </w:rPr>
              <w:t>Type: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RASCI Rollenmatrix (Doc 6/6)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003366"/>
                <w:sz w:val="20"/>
              </w:rPr>
              <w:t>Auteur: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JvG Consultancy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003366"/>
                <w:sz w:val="20"/>
              </w:rPr>
              <w:t>Versie: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1.0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003366"/>
                <w:sz w:val="20"/>
              </w:rPr>
              <w:t>Datum: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29 april 2026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003366"/>
                <w:sz w:val="20"/>
              </w:rPr>
              <w:t>Status: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Definitief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Documentbeheersing</w:t>
      </w:r>
    </w:p>
    <w:p>
      <w:pPr>
        <w:pStyle w:val="Heading2"/>
      </w:pPr>
      <w:r>
        <w:rPr>
          <w:color w:val="003366"/>
        </w:rPr>
        <w:t>Versiebeheer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Versie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Datum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Auteur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Wijziging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1.0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29-04-2026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JvG Consultancy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Initiële versie</w:t>
            </w:r>
          </w:p>
        </w:tc>
      </w:tr>
    </w:tbl>
    <w:p>
      <w:pPr>
        <w:pStyle w:val="Heading2"/>
      </w:pPr>
      <w:r>
        <w:rPr>
          <w:color w:val="003366"/>
        </w:rPr>
        <w:t>Distributielijst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880"/>
        <w:gridCol w:w="2880"/>
        <w:gridCol w:w="2880"/>
      </w:tblGrid>
      <w:tr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Functie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Naam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Distributie</w:t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Directie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TBD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Goedkeuring</w:t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MoC-coördinator / HSE Manager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TBD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Implementatie</w:t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Operations Manager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TBD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Implementatie</w:t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Maintenance Manager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TBD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Implementatie</w:t>
            </w:r>
          </w:p>
        </w:tc>
      </w:tr>
    </w:tbl>
    <w:p>
      <w:pPr>
        <w:pStyle w:val="Heading1"/>
      </w:pPr>
      <w:r>
        <w:rPr>
          <w:color w:val="003366"/>
        </w:rPr>
        <w:t>Inhoudsopgave</w:t>
      </w:r>
    </w:p>
    <w:p>
      <w:pPr>
        <w:spacing w:after="40"/>
      </w:pPr>
      <w:r>
        <w:t>1. Inleiding</w:t>
      </w:r>
    </w:p>
    <w:p>
      <w:pPr>
        <w:spacing w:after="40"/>
      </w:pPr>
      <w:r>
        <w:t>2. Roldefinities</w:t>
      </w:r>
    </w:p>
    <w:p>
      <w:pPr>
        <w:spacing w:after="40"/>
      </w:pPr>
      <w:r>
        <w:t>3. Bevoegdheidsmatrix</w:t>
      </w:r>
    </w:p>
    <w:p>
      <w:pPr>
        <w:spacing w:after="40"/>
      </w:pPr>
      <w:r>
        <w:t>4. RASCI Matrix</w:t>
      </w:r>
    </w:p>
    <w:p>
      <w:pPr>
        <w:spacing w:after="40"/>
      </w:pPr>
      <w:r>
        <w:t>5. Competentie-eisen</w:t>
      </w:r>
    </w:p>
    <w:p>
      <w:pPr>
        <w:spacing w:after="40"/>
      </w:pPr>
      <w:r>
        <w:t>6. Escalatieprotocol</w:t>
      </w:r>
    </w:p>
    <w:p>
      <w:pPr>
        <w:spacing w:after="40"/>
      </w:pPr>
      <w:r>
        <w:t>7. Afwezigheid &amp; Vervanging</w:t>
      </w:r>
    </w:p>
    <w:p>
      <w:pPr>
        <w:spacing w:after="40"/>
      </w:pPr>
      <w:r>
        <w:t>Bronnenlijst</w:t>
      </w:r>
    </w:p>
    <w:p>
      <w:pPr>
        <w:spacing w:after="40"/>
      </w:pPr>
      <w:r>
        <w:t>TierVerify Log</w:t>
      </w:r>
    </w:p>
    <w:p>
      <w:r>
        <w:br w:type="page"/>
      </w:r>
    </w:p>
    <w:p>
      <w:pPr>
        <w:pStyle w:val="Heading1"/>
      </w:pPr>
      <w:r>
        <w:rPr>
          <w:color w:val="003366"/>
        </w:rPr>
        <w:t>1. Inleiding</w:t>
      </w:r>
    </w:p>
    <w:p>
      <w:pPr>
        <w:pStyle w:val="Heading2"/>
      </w:pPr>
      <w:r>
        <w:rPr>
          <w:color w:val="003366"/>
        </w:rPr>
        <w:t>1.1 Doel</w:t>
      </w:r>
    </w:p>
    <w:p>
      <w:r>
        <w:t>Dit document definieert de RASCI-rollenmatrix voor het Management of Change (MoC) proces bij Phoenix Metals. De matrix legt verantwoordelijkheden, bevoegdheden en communicatielijnen vast voor elke fase van het MoC-proces, van initiatie tot en met afsluiting.</w:t>
      </w:r>
    </w:p>
    <w:p>
      <w:r>
        <w:t>De RASCI-rollenmatrix is een operationeel instrument dat aansluit bij het beleidskader (Doc 1, §7 — Beleidsverantwoordelijkheden) [1] en de MoC-procedure (Doc 2) [2]. Het zorgt voor eenduidige taakverdeling en elimineert ambiguïteit over wie welke beslissing neemt.</w:t>
      </w:r>
    </w:p>
    <w:p>
      <w:pPr>
        <w:pStyle w:val="Heading2"/>
      </w:pPr>
      <w:r>
        <w:rPr>
          <w:color w:val="003366"/>
        </w:rPr>
        <w:t>1.2 RASCI-definitie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880"/>
        <w:gridCol w:w="2880"/>
        <w:gridCol w:w="2880"/>
      </w:tblGrid>
      <w:tr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Code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Rol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Betekenis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003366"/>
                <w:sz w:val="18"/>
              </w:rPr>
              <w:t>R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8"/>
              </w:rPr>
              <w:t>Responsible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Voert de taak uit; is verantwoordelijk voor de uitvoering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003366"/>
                <w:sz w:val="18"/>
              </w:rPr>
              <w:t>A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8"/>
              </w:rPr>
              <w:t>Accountable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Eindverantwoordelijk; keurt goed en draagt eindverantwoordelijkheid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003366"/>
                <w:sz w:val="18"/>
              </w:rPr>
              <w:t>S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8"/>
              </w:rPr>
              <w:t>Supportive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Ondersteunt de uitvoering met expertise of middelen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003366"/>
                <w:sz w:val="18"/>
              </w:rPr>
              <w:t>C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8"/>
              </w:rPr>
              <w:t>Consulted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Wordt geraadpleegd vóór besluitvorming (tweerichtingsverkeer)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003366"/>
                <w:sz w:val="18"/>
              </w:rPr>
              <w:t>I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8"/>
              </w:rPr>
              <w:t>Informed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Wordt geïnformeerd na besluitvorming (eenrichtingsverkeer)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2. Roldefinities</w:t>
      </w:r>
    </w:p>
    <w:p>
      <w:r>
        <w:t>Het MoC-proces kent acht gedefinieerde rollen. Elke rol wordt hieronder uitgebreid beschreven met verantwoordelijkheden, bevoegdheden en rapportagelijnen.</w:t>
      </w:r>
    </w:p>
    <w:p>
      <w:pPr>
        <w:pStyle w:val="Heading2"/>
      </w:pPr>
      <w:r>
        <w:rPr>
          <w:color w:val="003366"/>
        </w:rPr>
        <w:t>2.1 Directie</w:t>
      </w:r>
    </w:p>
    <w:p>
      <w:pPr>
        <w:pStyle w:val="ListBullet"/>
      </w:pPr>
      <w:r>
        <w:t>Eindverantwoordelijk voor het MoC-beleid en -proces binnen de gehele organisatie</w:t>
      </w:r>
    </w:p>
    <w:p>
      <w:pPr>
        <w:pStyle w:val="ListBullet"/>
      </w:pPr>
      <w:r>
        <w:t>Goedkeuring van wijzigingen geclassificeerd als Hoog of Kritiek risiconiveau</w:t>
      </w:r>
    </w:p>
    <w:p>
      <w:pPr>
        <w:pStyle w:val="ListBullet"/>
      </w:pPr>
      <w:r>
        <w:t>Kwartaalreview van MoC-KPI's en trendanalyse via het MoC-dashboard (Doc 5) [3]</w:t>
      </w:r>
    </w:p>
    <w:p>
      <w:pPr>
        <w:pStyle w:val="ListBullet"/>
      </w:pPr>
      <w:r>
        <w:t>Primair escalatiepunt voor onoplosbare geschillen binnen het MoC-team</w:t>
      </w:r>
    </w:p>
    <w:p>
      <w:pPr>
        <w:pStyle w:val="ListBullet"/>
      </w:pPr>
      <w:r>
        <w:t>Toewijzing van budget en middelen voor MoC-gerelateerde investeringen</w:t>
      </w:r>
    </w:p>
    <w:p>
      <w:pPr>
        <w:pStyle w:val="ListBullet"/>
      </w:pPr>
      <w:r>
        <w:t>Goodkeuring van het jaarlijkse MoC-trainingsplan</w:t>
      </w:r>
    </w:p>
    <w:p>
      <w:pPr>
        <w:pStyle w:val="Heading2"/>
      </w:pPr>
      <w:r>
        <w:rPr>
          <w:color w:val="003366"/>
        </w:rPr>
        <w:t>2.2 MoC-coördinator / HSE Manager</w:t>
      </w:r>
    </w:p>
    <w:p>
      <w:pPr>
        <w:pStyle w:val="ListBullet"/>
      </w:pPr>
      <w:r>
        <w:t>Dagelijks beheer van het MoC-proces; eerste aanspreekpunt voor alle MoC-aangelegenheden</w:t>
      </w:r>
    </w:p>
    <w:p>
      <w:pPr>
        <w:pStyle w:val="ListBullet"/>
      </w:pPr>
      <w:r>
        <w:t>Voorzitter van het MoC-beoordelingsteam; leidt waardigheidstoets en risicoclassificatie</w:t>
      </w:r>
    </w:p>
    <w:p>
      <w:pPr>
        <w:pStyle w:val="ListBullet"/>
      </w:pPr>
      <w:r>
        <w:t>Beheer van het MoC-register en dashboard (Doc 5) [3]; waarborgt actualiteit en integriteit</w:t>
      </w:r>
    </w:p>
    <w:p>
      <w:pPr>
        <w:pStyle w:val="ListBullet"/>
      </w:pPr>
      <w:r>
        <w:t>Rapportage van MoC-KPI's (doorlooptijd, afwijzingspercentage, openstaande acties) aan Directie</w:t>
      </w:r>
    </w:p>
    <w:p>
      <w:pPr>
        <w:pStyle w:val="ListBullet"/>
      </w:pPr>
      <w:r>
        <w:t>Archivering van volledige MoC-dossiers conform retention policy</w:t>
      </w:r>
    </w:p>
    <w:p>
      <w:pPr>
        <w:pStyle w:val="ListBullet"/>
      </w:pPr>
      <w:r>
        <w:t>Coördinatie van MoC-training en competentieontwikkeling; verwijzing naar VBS01_04 [4]</w:t>
      </w:r>
    </w:p>
    <w:p>
      <w:pPr>
        <w:pStyle w:val="ListBullet"/>
      </w:pPr>
      <w:r>
        <w:t>Bevoegd voor goedkeuring van Laag en Gemiddeld risiconiveau wijzigingen</w:t>
      </w:r>
    </w:p>
    <w:p>
      <w:pPr>
        <w:pStyle w:val="ListBullet"/>
      </w:pPr>
      <w:r>
        <w:t>Toezicht op tijdige afsluiting van actiepunten en evaluaties</w:t>
      </w:r>
    </w:p>
    <w:p>
      <w:pPr>
        <w:pStyle w:val="Heading2"/>
      </w:pPr>
      <w:r>
        <w:rPr>
          <w:color w:val="003366"/>
        </w:rPr>
        <w:t>2.3 MoC-teamlid Operations</w:t>
      </w:r>
    </w:p>
    <w:p>
      <w:pPr>
        <w:pStyle w:val="ListBullet"/>
      </w:pPr>
      <w:r>
        <w:t>Beoordeelt operationele impact van voorgestelde wijzigingen op productieprocessen</w:t>
      </w:r>
    </w:p>
    <w:p>
      <w:pPr>
        <w:pStyle w:val="ListBullet"/>
      </w:pPr>
      <w:r>
        <w:t>Levert risico-input vanuit operationeel perspectief (productstilstand, logistiek, planning)</w:t>
      </w:r>
    </w:p>
    <w:p>
      <w:pPr>
        <w:pStyle w:val="ListBullet"/>
      </w:pPr>
      <w:r>
        <w:t>Beoordeelt uitvoerbaarheid van voorgestelde wijzigingen in de praktijk</w:t>
      </w:r>
    </w:p>
    <w:p>
      <w:pPr>
        <w:pStyle w:val="ListBullet"/>
      </w:pPr>
      <w:r>
        <w:t>Benoemt interacties met lopende operationele activiteiten en gelijktijdige werkzaamheden</w:t>
      </w:r>
    </w:p>
    <w:p>
      <w:pPr>
        <w:pStyle w:val="ListBullet"/>
      </w:pPr>
      <w:r>
        <w:t>vertegenwoordigt de werkvloer bij veiligheidsstudies (HAZOP, What-If)</w:t>
      </w:r>
    </w:p>
    <w:p>
      <w:pPr>
        <w:pStyle w:val="Heading2"/>
      </w:pPr>
      <w:r>
        <w:rPr>
          <w:color w:val="003366"/>
        </w:rPr>
        <w:t>2.4 MoC-teamlid Maintenance &amp; Reliability</w:t>
      </w:r>
    </w:p>
    <w:p>
      <w:pPr>
        <w:pStyle w:val="ListBullet"/>
      </w:pPr>
      <w:r>
        <w:t>Beoordeelt technische impact op installatie-integriteit en betrouwbaarheid</w:t>
      </w:r>
    </w:p>
    <w:p>
      <w:pPr>
        <w:pStyle w:val="ListBullet"/>
      </w:pPr>
      <w:r>
        <w:t>Initieert en coördineert Pre-Startup Safety Reviews (PSSR) waar vereist</w:t>
      </w:r>
    </w:p>
    <w:p>
      <w:pPr>
        <w:pStyle w:val="ListBullet"/>
      </w:pPr>
      <w:r>
        <w:t>Beoordeelt impact op onderhoudsstrategie, reserveonderdelen en inspectieprogramma's</w:t>
      </w:r>
    </w:p>
    <w:p>
      <w:pPr>
        <w:pStyle w:val="ListBullet"/>
      </w:pPr>
      <w:r>
        <w:t>Input op technische haalbaarheid en benodigde modificaties aan installaties</w:t>
      </w:r>
    </w:p>
    <w:p>
      <w:pPr>
        <w:pStyle w:val="ListBullet"/>
      </w:pPr>
      <w:r>
        <w:t>Verwijdert of actualiseert technische documentatie en P&amp;ID's</w:t>
      </w:r>
    </w:p>
    <w:p>
      <w:pPr>
        <w:pStyle w:val="Heading2"/>
      </w:pPr>
      <w:r>
        <w:rPr>
          <w:color w:val="003366"/>
        </w:rPr>
        <w:t>2.5 MoC-teamlid HSE</w:t>
      </w:r>
    </w:p>
    <w:p>
      <w:pPr>
        <w:pStyle w:val="ListBullet"/>
      </w:pPr>
      <w:r>
        <w:t>Beoordeelt veiligheids- en milieu-impact van voorgestelde wijzigingen</w:t>
      </w:r>
    </w:p>
    <w:p>
      <w:pPr>
        <w:pStyle w:val="ListBullet"/>
      </w:pPr>
      <w:r>
        <w:t>Toetst wijzigingen aan geldende wet- en regelgeving (BRZO, Arbowet, Omgevingswet)</w:t>
      </w:r>
    </w:p>
    <w:p>
      <w:pPr>
        <w:pStyle w:val="ListBullet"/>
      </w:pPr>
      <w:r>
        <w:t>Bepaalt het benodigde type veiligheidsstudie (HAZOP, LOPA, What-If, FMEA) op basis van risiconiveau</w:t>
      </w:r>
    </w:p>
    <w:p>
      <w:pPr>
        <w:pStyle w:val="ListBullet"/>
      </w:pPr>
      <w:r>
        <w:t>Koppelt wijzigingen aan de Risico-Inventarisatie &amp; -Evaluatie (RI&amp;E) [5]</w:t>
      </w:r>
    </w:p>
    <w:p>
      <w:pPr>
        <w:pStyle w:val="ListBullet"/>
      </w:pPr>
      <w:r>
        <w:t>Bewaakt naleving van veiligheidsmaatregelen tijdens implementatie</w:t>
      </w:r>
    </w:p>
    <w:p>
      <w:pPr>
        <w:pStyle w:val="Heading2"/>
      </w:pPr>
      <w:r>
        <w:rPr>
          <w:color w:val="003366"/>
        </w:rPr>
        <w:t>2.6 Aanvrager / Initiator</w:t>
      </w:r>
    </w:p>
    <w:p>
      <w:pPr>
        <w:pStyle w:val="ListBullet"/>
      </w:pPr>
      <w:r>
        <w:t>Dient het MoC-verzoek in via het gestandaardiseerde formulier (Doc 4) [6]</w:t>
      </w:r>
    </w:p>
    <w:p>
      <w:pPr>
        <w:pStyle w:val="ListBullet"/>
      </w:pPr>
      <w:r>
        <w:t>Levert alle benodigde informatie: technische specificaties, risico-inschatting, rationale</w:t>
      </w:r>
    </w:p>
    <w:p>
      <w:pPr>
        <w:pStyle w:val="ListBullet"/>
      </w:pPr>
      <w:r>
        <w:t>Voert goedgekeurde wijzigingen uit conform de vastgestelde implementatieplanning</w:t>
      </w:r>
    </w:p>
    <w:p>
      <w:pPr>
        <w:pStyle w:val="ListBullet"/>
      </w:pPr>
      <w:r>
        <w:t>Behandelt toegewezen actiepunten binnen gestelde termijnen</w:t>
      </w:r>
    </w:p>
    <w:p>
      <w:pPr>
        <w:pStyle w:val="ListBullet"/>
      </w:pPr>
      <w:r>
        <w:t>Draagt bij aan de evaluatie na implementatie (effectmeting, lessen)</w:t>
      </w:r>
    </w:p>
    <w:p>
      <w:pPr>
        <w:pStyle w:val="Heading2"/>
      </w:pPr>
      <w:r>
        <w:rPr>
          <w:color w:val="003366"/>
        </w:rPr>
        <w:t>2.7 Operationeel Management / Shift Supervisors</w:t>
      </w:r>
    </w:p>
    <w:p>
      <w:pPr>
        <w:pStyle w:val="ListBullet"/>
      </w:pPr>
      <w:r>
        <w:t>Communicatie van goedgekeurde wijzigingen naar de werkvloer (toolbox meetings, shift-overdracht)</w:t>
      </w:r>
    </w:p>
    <w:p>
      <w:pPr>
        <w:pStyle w:val="ListBullet"/>
      </w:pPr>
      <w:r>
        <w:t>Toezicht op naleving van nieuwe werkinstructies en procedures</w:t>
      </w:r>
    </w:p>
    <w:p>
      <w:pPr>
        <w:pStyle w:val="ListBullet"/>
      </w:pPr>
      <w:r>
        <w:t>Praktijkinput over werkbare uitvoering en mogelijke knelpunten</w:t>
      </w:r>
    </w:p>
    <w:p>
      <w:pPr>
        <w:pStyle w:val="ListBullet"/>
      </w:pPr>
      <w:r>
        <w:t>Melding van afwijkingen of onvoorziene effecten na implementatie</w:t>
      </w:r>
    </w:p>
    <w:p>
      <w:pPr>
        <w:pStyle w:val="ListBullet"/>
      </w:pPr>
      <w:r>
        <w:t>Waarborgt dat medewerkers op de hoogte zijn van actieve MoC's in hun werkgebied</w:t>
      </w:r>
    </w:p>
    <w:p>
      <w:pPr>
        <w:pStyle w:val="Heading2"/>
      </w:pPr>
      <w:r>
        <w:rPr>
          <w:color w:val="003366"/>
        </w:rPr>
        <w:t>2.8 Externe Deskundige</w:t>
      </w:r>
    </w:p>
    <w:p>
      <w:pPr>
        <w:pStyle w:val="ListBullet"/>
      </w:pPr>
      <w:r>
        <w:t>Levert specifieke expertise die intern niet beschikbaar is (bijv. procesveiligheid, metallurgie, explosieveiligheid)</w:t>
      </w:r>
    </w:p>
    <w:p>
      <w:pPr>
        <w:pStyle w:val="ListBullet"/>
      </w:pPr>
      <w:r>
        <w:t>Geeft advies; neemt geen besluiten — besluitbevoegdheid blijft bij het MoC-team</w:t>
      </w:r>
    </w:p>
    <w:p>
      <w:pPr>
        <w:pStyle w:val="ListBullet"/>
      </w:pPr>
      <w:r>
        <w:t>Rapporteert bevindingen schriftelijk; output wordt onderdeel van het MoC-dossier</w:t>
      </w:r>
    </w:p>
    <w:p>
      <w:pPr>
        <w:pStyle w:val="ListBullet"/>
      </w:pPr>
      <w:r>
        <w:t>Wordt ingeschakeld bij Hoog en Kritiek risiconiveau of bij complexe veiligheidsstudies</w:t>
      </w:r>
    </w:p>
    <w:p>
      <w:pPr>
        <w:pStyle w:val="ListBullet"/>
      </w:pPr>
      <w:r>
        <w:t>Voldoet aan de competentie-eisen zoals vastgelegd in dit document (§5)</w:t>
      </w:r>
    </w:p>
    <w:p>
      <w:r>
        <w:br w:type="page"/>
      </w:r>
    </w:p>
    <w:p>
      <w:pPr>
        <w:pStyle w:val="Heading1"/>
      </w:pPr>
      <w:r>
        <w:rPr>
          <w:color w:val="003366"/>
        </w:rPr>
        <w:t>3. Bevoegdheidsmatrix</w:t>
      </w:r>
    </w:p>
    <w:p>
      <w:r>
        <w:t>De bevoegdheidsmatrix definieert wie bevoegd is voor welke beslissing binnen het MoC-proces, inclusief escalatiebij het bereiken van drempelwaarden.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Beslissing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Bevoegde(n)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Voorwaarde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Escalatie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MoC-waardigheids­toets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MoC-coördinator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Classificeert of een wijziging MoC-waardig is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Directie bij twijfel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Risiconiveau­bepaling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MoC-team (consensus)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Bepaalt Laag/Gemiddeld/Hoog/Kritiek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Directie bij Hoog/Kritiek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Go/No-Go besluit (Laag)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MoC-coördinator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Enkelvoudige goedkeuring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—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Go/No-Go besluit (Gemiddeld)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MoC-coördinator + betrokken teamleider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Dubbele goedkeuring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Directie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Go/No-Go besluit (Hoog)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Directie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Formele directiegoedkeuring vereist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—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Go/No-Go besluit (Kritiek)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Directie + externe deskundige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Goedkeuring met extern advies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—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Ingebruikname (PSSR)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Maintenance Manager + MoC-coördinator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PSSR afronding vereist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Directie bij afwijkingen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Spoed-MoC goedkeuring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MoC-coördinator + Shift Supervisor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Mondeling + schriftelijk binnen 48u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Directie achteraf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Afsluiting MoC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MoC-coördinator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Alle acties afgerond, evaluatie compleet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Directie bij escalatie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4. RASCI Matrix</w:t>
      </w:r>
    </w:p>
    <w:p>
      <w:r>
        <w:t>De RASCI-matrix hieronder toont de verantwoordelijkheden voor negen MoC-fasen versus acht rollen. Kleurcodering: R = Responsible (donkerblauw), A = Accountable (rood), S = Supportive (groen), C = Consulted (geel), I = Informed (grijs).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MoC-fase</w:t>
            </w:r>
          </w:p>
        </w:tc>
        <w:tc>
          <w:tcPr>
            <w:tcW w:type="dxa" w:w="9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Directie</w:t>
            </w:r>
          </w:p>
        </w:tc>
        <w:tc>
          <w:tcPr>
            <w:tcW w:type="dxa" w:w="9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MoC-coörd.</w:t>
              <w:br/>
              <w:t>/HSE Mgr</w:t>
            </w:r>
          </w:p>
        </w:tc>
        <w:tc>
          <w:tcPr>
            <w:tcW w:type="dxa" w:w="9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Operations</w:t>
            </w:r>
          </w:p>
        </w:tc>
        <w:tc>
          <w:tcPr>
            <w:tcW w:type="dxa" w:w="9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Maint. &amp;</w:t>
              <w:br/>
              <w:t>Reliability</w:t>
            </w:r>
          </w:p>
        </w:tc>
        <w:tc>
          <w:tcPr>
            <w:tcW w:type="dxa" w:w="9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HSE</w:t>
            </w:r>
          </w:p>
        </w:tc>
        <w:tc>
          <w:tcPr>
            <w:tcW w:type="dxa" w:w="9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Aanvrager</w:t>
            </w:r>
          </w:p>
        </w:tc>
        <w:tc>
          <w:tcPr>
            <w:tcW w:type="dxa" w:w="9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Op. Mgmt /</w:t>
              <w:br/>
              <w:t>Shift Superv.</w:t>
            </w:r>
          </w:p>
        </w:tc>
        <w:tc>
          <w:tcPr>
            <w:tcW w:type="dxa" w:w="9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Ext.</w:t>
              <w:br/>
              <w:t>Deskundige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003366"/>
                <w:sz w:val="14"/>
              </w:rPr>
              <w:t>1. Initiatie &amp; aanvraag</w:t>
            </w:r>
          </w:p>
        </w:tc>
        <w:tc>
          <w:tcPr>
            <w:tcW w:type="dxa" w:w="960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I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  <w:tc>
          <w:tcPr>
            <w:tcW w:type="dxa" w:w="960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I</w:t>
            </w:r>
          </w:p>
        </w:tc>
        <w:tc>
          <w:tcPr>
            <w:tcW w:type="dxa" w:w="960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I</w:t>
            </w:r>
          </w:p>
        </w:tc>
        <w:tc>
          <w:tcPr>
            <w:tcW w:type="dxa" w:w="960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I</w:t>
            </w:r>
          </w:p>
        </w:tc>
        <w:tc>
          <w:tcPr>
            <w:tcW w:type="dxa" w:w="9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R</w:t>
            </w:r>
          </w:p>
        </w:tc>
        <w:tc>
          <w:tcPr>
            <w:tcW w:type="dxa" w:w="960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I</w:t>
            </w:r>
          </w:p>
        </w:tc>
        <w:tc>
          <w:tcPr>
            <w:tcW w:type="dxa" w:w="960"/>
            <w:shd w:fill="F3F4F6" w:val="clear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—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003366"/>
                <w:sz w:val="14"/>
              </w:rPr>
              <w:t>2. MoC-waardigheidstoets</w:t>
            </w:r>
          </w:p>
        </w:tc>
        <w:tc>
          <w:tcPr>
            <w:tcW w:type="dxa" w:w="960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I</w:t>
            </w:r>
          </w:p>
        </w:tc>
        <w:tc>
          <w:tcPr>
            <w:tcW w:type="dxa" w:w="9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R/A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  <w:tc>
          <w:tcPr>
            <w:tcW w:type="dxa" w:w="960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I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  <w:tc>
          <w:tcPr>
            <w:tcW w:type="dxa" w:w="960"/>
            <w:shd w:fill="F3F4F6" w:val="clear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—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003366"/>
                <w:sz w:val="14"/>
              </w:rPr>
              <w:t>3. Risicoclassificatie</w:t>
            </w:r>
          </w:p>
        </w:tc>
        <w:tc>
          <w:tcPr>
            <w:tcW w:type="dxa" w:w="960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I</w:t>
            </w:r>
          </w:p>
        </w:tc>
        <w:tc>
          <w:tcPr>
            <w:tcW w:type="dxa" w:w="9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R</w:t>
            </w:r>
          </w:p>
        </w:tc>
        <w:tc>
          <w:tcPr>
            <w:tcW w:type="dxa" w:w="960"/>
            <w:shd w:fill="10B981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S</w:t>
            </w:r>
          </w:p>
        </w:tc>
        <w:tc>
          <w:tcPr>
            <w:tcW w:type="dxa" w:w="960"/>
            <w:shd w:fill="10B981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S</w:t>
            </w:r>
          </w:p>
        </w:tc>
        <w:tc>
          <w:tcPr>
            <w:tcW w:type="dxa" w:w="960"/>
            <w:shd w:fill="10B981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S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003366"/>
                <w:sz w:val="14"/>
              </w:rPr>
              <w:t>4. Veiligheidsstudie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  <w:tc>
          <w:tcPr>
            <w:tcW w:type="dxa" w:w="9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R</w:t>
            </w:r>
          </w:p>
        </w:tc>
        <w:tc>
          <w:tcPr>
            <w:tcW w:type="dxa" w:w="960"/>
            <w:shd w:fill="10B981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S</w:t>
            </w:r>
          </w:p>
        </w:tc>
        <w:tc>
          <w:tcPr>
            <w:tcW w:type="dxa" w:w="960"/>
            <w:shd w:fill="10B981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S</w:t>
            </w:r>
          </w:p>
        </w:tc>
        <w:tc>
          <w:tcPr>
            <w:tcW w:type="dxa" w:w="960"/>
            <w:shd w:fill="10B981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S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  <w:tc>
          <w:tcPr>
            <w:tcW w:type="dxa" w:w="960"/>
            <w:shd w:fill="10B981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S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003366"/>
                <w:sz w:val="14"/>
              </w:rPr>
              <w:t>5. Go/No-Go besluit</w:t>
            </w:r>
          </w:p>
        </w:tc>
        <w:tc>
          <w:tcPr>
            <w:tcW w:type="dxa" w:w="960"/>
            <w:shd w:fill="DC262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A</w:t>
            </w:r>
          </w:p>
        </w:tc>
        <w:tc>
          <w:tcPr>
            <w:tcW w:type="dxa" w:w="9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R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  <w:tc>
          <w:tcPr>
            <w:tcW w:type="dxa" w:w="960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I</w:t>
            </w:r>
          </w:p>
        </w:tc>
        <w:tc>
          <w:tcPr>
            <w:tcW w:type="dxa" w:w="960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I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003366"/>
                <w:sz w:val="14"/>
              </w:rPr>
              <w:t>6. Implementatie</w:t>
            </w:r>
          </w:p>
        </w:tc>
        <w:tc>
          <w:tcPr>
            <w:tcW w:type="dxa" w:w="960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I</w:t>
            </w:r>
          </w:p>
        </w:tc>
        <w:tc>
          <w:tcPr>
            <w:tcW w:type="dxa" w:w="9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R</w:t>
            </w:r>
          </w:p>
        </w:tc>
        <w:tc>
          <w:tcPr>
            <w:tcW w:type="dxa" w:w="960"/>
            <w:shd w:fill="10B981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S</w:t>
            </w:r>
          </w:p>
        </w:tc>
        <w:tc>
          <w:tcPr>
            <w:tcW w:type="dxa" w:w="960"/>
            <w:shd w:fill="10B981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S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  <w:tc>
          <w:tcPr>
            <w:tcW w:type="dxa" w:w="960"/>
            <w:shd w:fill="DC262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A</w:t>
            </w:r>
          </w:p>
        </w:tc>
        <w:tc>
          <w:tcPr>
            <w:tcW w:type="dxa" w:w="960"/>
            <w:shd w:fill="10B981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S</w:t>
            </w:r>
          </w:p>
        </w:tc>
        <w:tc>
          <w:tcPr>
            <w:tcW w:type="dxa" w:w="960"/>
            <w:shd w:fill="F3F4F6" w:val="clear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—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003366"/>
                <w:sz w:val="14"/>
              </w:rPr>
              <w:t>7. PSSR / Ingebruikname</w:t>
            </w:r>
          </w:p>
        </w:tc>
        <w:tc>
          <w:tcPr>
            <w:tcW w:type="dxa" w:w="960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I</w:t>
            </w:r>
          </w:p>
        </w:tc>
        <w:tc>
          <w:tcPr>
            <w:tcW w:type="dxa" w:w="9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R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  <w:tc>
          <w:tcPr>
            <w:tcW w:type="dxa" w:w="9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R</w:t>
            </w:r>
          </w:p>
        </w:tc>
        <w:tc>
          <w:tcPr>
            <w:tcW w:type="dxa" w:w="960"/>
            <w:shd w:fill="10B981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S</w:t>
            </w:r>
          </w:p>
        </w:tc>
        <w:tc>
          <w:tcPr>
            <w:tcW w:type="dxa" w:w="960"/>
            <w:shd w:fill="DC262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A</w:t>
            </w:r>
          </w:p>
        </w:tc>
        <w:tc>
          <w:tcPr>
            <w:tcW w:type="dxa" w:w="960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I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003366"/>
                <w:sz w:val="14"/>
              </w:rPr>
              <w:t>8. Evaluatie &amp; afsluiting</w:t>
            </w:r>
          </w:p>
        </w:tc>
        <w:tc>
          <w:tcPr>
            <w:tcW w:type="dxa" w:w="960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I</w:t>
            </w:r>
          </w:p>
        </w:tc>
        <w:tc>
          <w:tcPr>
            <w:tcW w:type="dxa" w:w="9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R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  <w:tc>
          <w:tcPr>
            <w:tcW w:type="dxa" w:w="960"/>
            <w:shd w:fill="10B981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S</w:t>
            </w:r>
          </w:p>
        </w:tc>
        <w:tc>
          <w:tcPr>
            <w:tcW w:type="dxa" w:w="960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4"/>
              </w:rPr>
              <w:t>C</w:t>
            </w:r>
          </w:p>
        </w:tc>
        <w:tc>
          <w:tcPr>
            <w:tcW w:type="dxa" w:w="960"/>
            <w:shd w:fill="F3F4F6" w:val="clear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—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003366"/>
                <w:sz w:val="14"/>
              </w:rPr>
              <w:t>9. Archivering</w:t>
            </w:r>
          </w:p>
        </w:tc>
        <w:tc>
          <w:tcPr>
            <w:tcW w:type="dxa" w:w="960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I</w:t>
            </w:r>
          </w:p>
        </w:tc>
        <w:tc>
          <w:tcPr>
            <w:tcW w:type="dxa" w:w="9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R/A</w:t>
            </w:r>
          </w:p>
        </w:tc>
        <w:tc>
          <w:tcPr>
            <w:tcW w:type="dxa" w:w="960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I</w:t>
            </w:r>
          </w:p>
        </w:tc>
        <w:tc>
          <w:tcPr>
            <w:tcW w:type="dxa" w:w="960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I</w:t>
            </w:r>
          </w:p>
        </w:tc>
        <w:tc>
          <w:tcPr>
            <w:tcW w:type="dxa" w:w="960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I</w:t>
            </w:r>
          </w:p>
        </w:tc>
        <w:tc>
          <w:tcPr>
            <w:tcW w:type="dxa" w:w="960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I</w:t>
            </w:r>
          </w:p>
        </w:tc>
        <w:tc>
          <w:tcPr>
            <w:tcW w:type="dxa" w:w="960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I</w:t>
            </w:r>
          </w:p>
        </w:tc>
        <w:tc>
          <w:tcPr>
            <w:tcW w:type="dxa" w:w="960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I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R</w:t>
            </w:r>
          </w:p>
        </w:tc>
        <w:tc>
          <w:tcPr>
            <w:tcW w:type="dxa" w:w="1728"/>
            <w:shd w:fill="DC262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A</w:t>
            </w:r>
          </w:p>
        </w:tc>
        <w:tc>
          <w:tcPr>
            <w:tcW w:type="dxa" w:w="1728"/>
            <w:shd w:fill="10B981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</w:t>
            </w:r>
          </w:p>
        </w:tc>
        <w:tc>
          <w:tcPr>
            <w:tcW w:type="dxa" w:w="1728"/>
            <w:shd w:fill="F59E0B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1F2937"/>
                <w:sz w:val="16"/>
              </w:rPr>
              <w:t>C</w:t>
            </w:r>
          </w:p>
        </w:tc>
        <w:tc>
          <w:tcPr>
            <w:tcW w:type="dxa" w:w="1728"/>
            <w:shd w:fill="6B7280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I</w:t>
            </w:r>
          </w:p>
        </w:tc>
      </w:tr>
      <w:tr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Responsible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Accountable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Supportive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Consulted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Informed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5. Competentie-eisen</w:t>
      </w:r>
    </w:p>
    <w:p>
      <w:r>
        <w:t>Onderstaande tabel definieert de minimum competentie-eisen per rol. Voor een volledig overzicht van competentiematrix en trainingsplan wordt verwezen naar VBS Element 1, Doc 4 (VBS01_04) [4].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Rol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Minimum opleiding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Vaatwoordigheidsniveau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Herhaling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Directie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HBO/WO niveau + VCA-VOL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Bewust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Jaarlijks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MoC-coördinator / HSE Manager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HBO Veiligheidskunde / HSE + MoC-certificering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Expert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2-jaarlijks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MoC-teamlid Operations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MBO/HBO Procestechniek + VCA Basis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Gevorderd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2-jaarlijks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MoC-teamlid Maintenance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MBO/HBO Werktuigbouwkunde + VCA Basis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Gevorderd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2-jaarlijks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MoC-teamlid HSE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HBO Veiligheidskunde + HAZOP-leiderschap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Expert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Jaarlijks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Aanvrager / Initiator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VCA Basis + MoC-bewustzijnstraining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Basis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3-jaarlijks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Op. Management / Shift Supervisors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MBO + VCA-VOL + MoC-proceduretraining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Gevorderd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2-jaarlijks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Externe Deskundige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Relevante HBO/WO + vakcertificering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Expert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Projectmatig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6. Escalatieprotocol</w:t>
      </w:r>
    </w:p>
    <w:p>
      <w:r>
        <w:t>Het escalatieprotocol waarborgt dat knelpunten en geschillen tijdig op het juiste niveau worden opgelost.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Niveau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Type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Escalatie­ontvanger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Trigger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Termijn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003366"/>
                <w:sz w:val="16"/>
              </w:rPr>
              <w:t>Niveau 1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Operationeel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MoC-coördinator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Verschil van inzicht binnen MoC-team; onduidelijkheid over classificatie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3 werkdagen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003366"/>
                <w:sz w:val="16"/>
              </w:rPr>
              <w:t>Niveau 2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Tactisch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Directie (Operations Director)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Bevoegdheidsoverschrijding;Hoog/Kritiek goedkeuring; budgetimpact &gt;€25.000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2 werkdagen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003366"/>
                <w:sz w:val="16"/>
              </w:rPr>
              <w:t>Niveau 3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Strategisch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Algemene Directie (CEO)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Belangrijke veiligheidsrisico's; externe melding; mediabelang; stopzettingsverzoek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1 werkdag</w:t>
            </w:r>
          </w:p>
        </w:tc>
      </w:tr>
    </w:tbl>
    <w:p/>
    <w:p>
      <w:r>
        <w:t>Alle escalaties worden gedocumenteerd in het MoC-register met datum, reden, besluit en ondertekening.</w:t>
      </w:r>
    </w:p>
    <w:p>
      <w:r>
        <w:br w:type="page"/>
      </w:r>
    </w:p>
    <w:p>
      <w:pPr>
        <w:pStyle w:val="Heading1"/>
      </w:pPr>
      <w:r>
        <w:rPr>
          <w:color w:val="003366"/>
        </w:rPr>
        <w:t>7. Afwezigheid &amp; Vervanging</w:t>
      </w:r>
    </w:p>
    <w:p>
      <w:r>
        <w:t>Dit hoofdstuk beschrijft de vervangingsregeling bij afwezigheid van sleutelfunctionarissen.</w:t>
      </w:r>
    </w:p>
    <w:p>
      <w:pPr>
        <w:pStyle w:val="Heading2"/>
      </w:pPr>
      <w:r>
        <w:rPr>
          <w:color w:val="003366"/>
        </w:rPr>
        <w:t>7.1 Vervanging MoC-coördinator</w:t>
      </w:r>
    </w:p>
    <w:p>
      <w:r>
        <w:t>Bij afwezigheid van de MoC-coördinator neemt de plaatsvervangend HSE Manager de rol over. Deze vervanger dient te voldoen aan dezelfde competentie-eisen als de primaire coördinator (§5). De Directie wordt schriftelijk geïnformeerd bij vervanging langer dan 5 werkdagen.</w:t>
      </w:r>
    </w:p>
    <w:p>
      <w:pPr>
        <w:pStyle w:val="Heading2"/>
      </w:pPr>
      <w:r>
        <w:rPr>
          <w:color w:val="003366"/>
        </w:rPr>
        <w:t>7.2 Vervanging MoC-teamleden</w:t>
      </w:r>
    </w:p>
    <w:p>
      <w:r>
        <w:t>Elk MoC-teamlid draagt een aangewezen vervanger met minimaal hetzelfde competentieniveau. De vervanger wordt bij inschakeling geïnformeerd over lopende MoC's via het MoC-register. Vervangingen worden vastgelegd in het MoC-dossier.</w:t>
      </w:r>
    </w:p>
    <w:p>
      <w:pPr>
        <w:pStyle w:val="Heading2"/>
      </w:pPr>
      <w:r>
        <w:rPr>
          <w:color w:val="003366"/>
        </w:rPr>
        <w:t>7.3 Goedkeuring bij vervanging</w:t>
      </w:r>
    </w:p>
    <w:p>
      <w:r>
        <w:t>Vervanging van de MoC-coördinator vereist formele goedkeuring door de Directie. Vervanging van teamleden wordt gemeld aan de MoC-coördinator en vastgelegd in het register. Voor Hoog en Kritiek wijzigingen geldt dat de Directie akkoord moet gaan met de vervangersamenstelling.</w:t>
      </w:r>
    </w:p>
    <w:p>
      <w:pPr>
        <w:pStyle w:val="Heading2"/>
      </w:pPr>
      <w:r>
        <w:rPr>
          <w:color w:val="003366"/>
        </w:rPr>
        <w:t>7.4 Documentatie</w:t>
      </w:r>
    </w:p>
    <w:p>
      <w:r>
        <w:t>Alle vervangingen worden gedocumenteerd met: naam vervanger, datum, reden, duur, en goedkeuring. Deze gegevens worden opgenomen in het MoC-register en zijn beschikbaar voor audit.</w:t>
      </w:r>
    </w:p>
    <w:p>
      <w:r>
        <w:br w:type="page"/>
      </w:r>
    </w:p>
    <w:p>
      <w:pPr>
        <w:pStyle w:val="Heading1"/>
      </w:pPr>
      <w:r>
        <w:rPr>
          <w:color w:val="003366"/>
        </w:rPr>
        <w:t>Bronnenlijst</w:t>
      </w:r>
    </w:p>
    <w:p>
      <w:pPr>
        <w:pStyle w:val="ListBullet"/>
        <w:spacing w:after="40"/>
      </w:pPr>
      <w:r>
        <w:t>[1] JvG Consultancy — PM_VBS05_01_MoC_Beleid_Kaderdocument_v1.0.docx, §7 Beleidsverantwoordelijkheden</w:t>
      </w:r>
    </w:p>
    <w:p>
      <w:pPr>
        <w:pStyle w:val="ListBullet"/>
        <w:spacing w:after="40"/>
      </w:pPr>
      <w:r>
        <w:t>[2] JvG Consultancy — PM_VBS05_02_MoC_Procedure_v1.0.docx</w:t>
      </w:r>
    </w:p>
    <w:p>
      <w:pPr>
        <w:pStyle w:val="ListBullet"/>
        <w:spacing w:after="40"/>
      </w:pPr>
      <w:r>
        <w:t>[3] JvG Consultancy — PM_VBS05_05_MoC_Register_Dashboard_v1.0.docx</w:t>
      </w:r>
    </w:p>
    <w:p>
      <w:pPr>
        <w:pStyle w:val="ListBullet"/>
        <w:spacing w:after="40"/>
      </w:pPr>
      <w:r>
        <w:t>[4] Phoenix Metals — VBS Element 1, Doc 4: Competentiematrix &amp; Trainingsplan (VBS01_04)</w:t>
      </w:r>
    </w:p>
    <w:p>
      <w:pPr>
        <w:pStyle w:val="ListBullet"/>
        <w:spacing w:after="40"/>
      </w:pPr>
      <w:r>
        <w:t>[5] Phoenix Metals — Risico-Inventarisatie &amp; -Evaluatie (RI&amp;E), versie actueel</w:t>
      </w:r>
    </w:p>
    <w:p>
      <w:pPr>
        <w:pStyle w:val="ListBullet"/>
        <w:spacing w:after="40"/>
      </w:pPr>
      <w:r>
        <w:t>[6] JvG Consultancy — PM_VBS05_04_Formulierenpakket_v1.0.docx</w:t>
      </w:r>
    </w:p>
    <w:p>
      <w:pPr>
        <w:pStyle w:val="ListBullet"/>
        <w:spacing w:after="40"/>
      </w:pPr>
      <w:r>
        <w:t>[7] Seveso III Richtlijn 2012/18/EU, artikel 12 — Management of Change</w:t>
      </w:r>
    </w:p>
    <w:p>
      <w:pPr>
        <w:pStyle w:val="ListBullet"/>
        <w:spacing w:after="40"/>
      </w:pPr>
      <w:r>
        <w:t>[8] BRZO 1999 (Stb. 1999, 369), artikel 5 — Veiligheidsbeheerssysteem</w:t>
      </w:r>
    </w:p>
    <w:p>
      <w:pPr>
        <w:pStyle w:val="ListBullet"/>
        <w:spacing w:after="40"/>
      </w:pPr>
      <w:r>
        <w:t>[9] ISO 45001:2018, artikel 8.1.3 — Management of Change</w:t>
      </w:r>
    </w:p>
    <w:p>
      <w:pPr>
        <w:pStyle w:val="ListBullet"/>
        <w:spacing w:after="40"/>
      </w:pPr>
      <w:r>
        <w:t>[10] CCPS — Guidelines for the Management of Change (2019)</w:t>
      </w:r>
    </w:p>
    <w:p/>
    <w:p>
      <w:pPr>
        <w:pStyle w:val="Heading1"/>
      </w:pPr>
      <w:r>
        <w:rPr>
          <w:color w:val="003366"/>
        </w:rPr>
        <w:t>TierVerify Log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Check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Roldefinities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Doc 1 §7, Doc 2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✓ Geverifieerd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8 rollen compleet met bevoegdheden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RASCI-toewijzing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Doc 2 procedurefasen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✓ Geverifieerd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9 fasen × 8 rollen gedekt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Bevoegdheidsmatrix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Doc 1 §7.3, Doc 2 §4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✓ Geverifieerd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Alle beslissingen voorzien van bevoegde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Competentie-eisen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VBS01_04 referentie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✓ Geverifieerd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Koppeling met VBS Element 1 gelegd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Escalatieprotocol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Doc 2 §6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✓ Geverifieerd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3 niveaus met termijnen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sz w:val="16"/>
              </w:rPr>
              <w:t>Vervangingsregeling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Doc 2 §8.4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✓ Geverifieerd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Alle sleutelfuncties gedekt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B7280"/>
        <w:sz w:val="16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