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rFonts w:ascii="Calibri" w:hAnsi="Calibri"/>
          <w:b/>
          <w:sz w:val="32"/>
        </w:rPr>
        <w:t>JvG Consultancy</w:t>
      </w:r>
    </w:p>
    <w:p>
      <w:pPr>
        <w:jc w:val="center"/>
      </w:pPr>
      <w:r>
        <w:rPr>
          <w:rFonts w:ascii="Calibri" w:hAnsi="Calibri"/>
          <w:b w:val="0"/>
          <w:color w:val="666666"/>
          <w:sz w:val="22"/>
        </w:rPr>
        <w:t>Safety • Governance • Advisory</w:t>
      </w:r>
    </w:p>
    <w:p/>
    <w:p>
      <w:pPr>
        <w:jc w:val="center"/>
      </w:pPr>
      <w:r>
        <w:rPr>
          <w:rFonts w:ascii="Calibri" w:hAnsi="Calibri"/>
          <w:b/>
          <w:sz w:val="44"/>
        </w:rPr>
        <w:t>Management of Change</w:t>
      </w:r>
    </w:p>
    <w:p>
      <w:pPr>
        <w:jc w:val="center"/>
      </w:pPr>
      <w:r>
        <w:rPr>
          <w:rFonts w:ascii="Calibri" w:hAnsi="Calibri"/>
          <w:b/>
          <w:sz w:val="36"/>
        </w:rPr>
        <w:t>MoC Register &amp; Dashboard</w:t>
      </w:r>
    </w:p>
    <w:p/>
    <w:p>
      <w:pPr>
        <w:jc w:val="center"/>
      </w:pPr>
      <w:r>
        <w:rPr>
          <w:rFonts w:ascii="Calibri" w:hAnsi="Calibri"/>
          <w:b w:val="0"/>
          <w:sz w:val="22"/>
        </w:rPr>
        <w:t>BRZO Element IV — VBS Element 5</w:t>
      </w:r>
    </w:p>
    <w:p>
      <w:pPr>
        <w:jc w:val="center"/>
      </w:pPr>
      <w:r>
        <w:rPr>
          <w:rFonts w:ascii="Calibri" w:hAnsi="Calibri"/>
          <w:b/>
          <w:sz w:val="28"/>
        </w:rPr>
        <w:t>Phoenix Metals</w:t>
      </w:r>
    </w:p>
    <w:p/>
    <w:p>
      <w:pPr>
        <w:jc w:val="center"/>
      </w:pPr>
      <w:r>
        <w:rPr>
          <w:rFonts w:ascii="Calibri" w:hAnsi="Calibri"/>
          <w:b w:val="0"/>
          <w:sz w:val="22"/>
        </w:rPr>
        <w:t>Documentcode: PM_VBS05_05</w:t>
      </w:r>
    </w:p>
    <w:p>
      <w:pPr>
        <w:jc w:val="center"/>
      </w:pPr>
      <w:r>
        <w:rPr>
          <w:rFonts w:ascii="Calibri" w:hAnsi="Calibri"/>
          <w:b w:val="0"/>
          <w:sz w:val="22"/>
        </w:rPr>
        <w:t>Versie: 1.0</w:t>
      </w:r>
    </w:p>
    <w:p>
      <w:pPr>
        <w:jc w:val="center"/>
      </w:pPr>
      <w:r>
        <w:rPr>
          <w:rFonts w:ascii="Calibri" w:hAnsi="Calibri"/>
          <w:b w:val="0"/>
          <w:sz w:val="22"/>
        </w:rPr>
        <w:t>Datum: 29-04-2026</w:t>
      </w:r>
    </w:p>
    <w:p>
      <w:pPr>
        <w:jc w:val="center"/>
      </w:pPr>
      <w:r>
        <w:rPr>
          <w:rFonts w:ascii="Calibri" w:hAnsi="Calibri"/>
          <w:b w:val="0"/>
          <w:sz w:val="22"/>
        </w:rPr>
        <w:t>Status: Definitief</w:t>
      </w:r>
    </w:p>
    <w:p>
      <w:pPr>
        <w:jc w:val="center"/>
      </w:pPr>
      <w:r>
        <w:rPr>
          <w:rFonts w:ascii="Calibri" w:hAnsi="Calibri"/>
          <w:b w:val="0"/>
          <w:sz w:val="22"/>
        </w:rPr>
        <w:t>Classificatie: Vertrouwelijk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Documentbeheersing</w:t>
      </w:r>
    </w:p>
    <w:p>
      <w:pPr>
        <w:pStyle w:val="Heading2"/>
      </w:pPr>
      <w:r>
        <w:rPr>
          <w:rFonts w:ascii="Calibri" w:hAnsi="Calibri"/>
          <w:color w:val="003366"/>
        </w:rPr>
        <w:t>Versiebeheer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Wijziging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Goedgekeurd door</w:t>
            </w:r>
          </w:p>
        </w:tc>
      </w:tr>
      <w:tr>
        <w:tc>
          <w:tcPr>
            <w:tcW w:type="dxa" w:w="1814"/>
          </w:tcPr>
          <w:p>
            <w:r>
              <w:t>1.0</w:t>
            </w:r>
          </w:p>
        </w:tc>
        <w:tc>
          <w:tcPr>
            <w:tcW w:type="dxa" w:w="1814"/>
          </w:tcPr>
          <w:p>
            <w:r>
              <w:t>29-04-2026</w:t>
            </w:r>
          </w:p>
        </w:tc>
        <w:tc>
          <w:tcPr>
            <w:tcW w:type="dxa" w:w="1814"/>
          </w:tcPr>
          <w:p>
            <w:r>
              <w:t>JvG Consultancy</w:t>
            </w:r>
          </w:p>
        </w:tc>
        <w:tc>
          <w:tcPr>
            <w:tcW w:type="dxa" w:w="1814"/>
          </w:tcPr>
          <w:p>
            <w:r>
              <w:t>Initiële release</w:t>
            </w:r>
          </w:p>
        </w:tc>
        <w:tc>
          <w:tcPr>
            <w:tcW w:type="dxa" w:w="1814"/>
          </w:tcPr>
          <w:p>
            <w:r>
              <w:t>Directie Phoenix Metals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Distributielijst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3024"/>
        <w:gridCol w:w="3024"/>
        <w:gridCol w:w="3024"/>
      </w:tblGrid>
      <w:tr>
        <w:tc>
          <w:tcPr>
            <w:tcW w:type="dxa" w:w="302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Functie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Naam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Distributie</w:t>
            </w:r>
          </w:p>
        </w:tc>
      </w:tr>
      <w:tr>
        <w:tc>
          <w:tcPr>
            <w:tcW w:type="dxa" w:w="3024"/>
          </w:tcPr>
          <w:p>
            <w:r>
              <w:t>Directeur</w:t>
            </w:r>
          </w:p>
        </w:tc>
        <w:tc>
          <w:tcPr>
            <w:tcW w:type="dxa" w:w="3024"/>
          </w:tcPr>
          <w:p>
            <w:r>
              <w:t>Directie Phoenix Metals</w:t>
            </w:r>
          </w:p>
        </w:tc>
        <w:tc>
          <w:tcPr>
            <w:tcW w:type="dxa" w:w="3024"/>
          </w:tcPr>
          <w:p>
            <w:r>
              <w:t>Digitaal + Print</w:t>
            </w:r>
          </w:p>
        </w:tc>
      </w:tr>
      <w:tr>
        <w:tc>
          <w:tcPr>
            <w:tcW w:type="dxa" w:w="3024"/>
          </w:tcPr>
          <w:p>
            <w:r>
              <w:t>HSEQ Manager</w:t>
            </w:r>
          </w:p>
        </w:tc>
        <w:tc>
          <w:tcPr>
            <w:tcW w:type="dxa" w:w="3024"/>
          </w:tcPr>
          <w:p>
            <w:r>
              <w:t>HSEQ Manager</w:t>
            </w:r>
          </w:p>
        </w:tc>
        <w:tc>
          <w:tcPr>
            <w:tcW w:type="dxa" w:w="3024"/>
          </w:tcPr>
          <w:p>
            <w:r>
              <w:t>Digitaal + Print</w:t>
            </w:r>
          </w:p>
        </w:tc>
      </w:tr>
      <w:tr>
        <w:tc>
          <w:tcPr>
            <w:tcW w:type="dxa" w:w="3024"/>
          </w:tcPr>
          <w:p>
            <w:r>
              <w:t>MoC-coördinator</w:t>
            </w:r>
          </w:p>
        </w:tc>
        <w:tc>
          <w:tcPr>
            <w:tcW w:type="dxa" w:w="3024"/>
          </w:tcPr>
          <w:p>
            <w:r>
              <w:t>MoC-coördinator</w:t>
            </w:r>
          </w:p>
        </w:tc>
        <w:tc>
          <w:tcPr>
            <w:tcW w:type="dxa" w:w="3024"/>
          </w:tcPr>
          <w:p>
            <w:r>
              <w:t>Digitaal + Print</w:t>
            </w:r>
          </w:p>
        </w:tc>
      </w:tr>
      <w:tr>
        <w:tc>
          <w:tcPr>
            <w:tcW w:type="dxa" w:w="3024"/>
          </w:tcPr>
          <w:p>
            <w:r>
              <w:t>Procesingenieur</w:t>
            </w:r>
          </w:p>
        </w:tc>
        <w:tc>
          <w:tcPr>
            <w:tcW w:type="dxa" w:w="3024"/>
          </w:tcPr>
          <w:p>
            <w:r>
              <w:t>Engineering</w:t>
            </w:r>
          </w:p>
        </w:tc>
        <w:tc>
          <w:tcPr>
            <w:tcW w:type="dxa" w:w="3024"/>
          </w:tcPr>
          <w:p>
            <w:r>
              <w:t>Digitaal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Inhoudsopgave</w:t>
      </w:r>
    </w:p>
    <w:p>
      <w:pPr>
        <w:spacing w:after="40"/>
      </w:pPr>
      <w:r>
        <w:t>1. Inleiding</w:t>
      </w:r>
    </w:p>
    <w:p>
      <w:pPr>
        <w:spacing w:after="40"/>
      </w:pPr>
      <w:r>
        <w:t>2. MoC Register — Structuur &amp; Velden</w:t>
      </w:r>
    </w:p>
    <w:p>
      <w:pPr>
        <w:spacing w:after="40"/>
      </w:pPr>
      <w:r>
        <w:t>3. Workflow &amp; Statusovergangen</w:t>
      </w:r>
    </w:p>
    <w:p>
      <w:pPr>
        <w:spacing w:after="40"/>
      </w:pPr>
      <w:r>
        <w:t>4. KPI Dashboard</w:t>
      </w:r>
    </w:p>
    <w:p>
      <w:pPr>
        <w:spacing w:after="40"/>
      </w:pPr>
      <w:r>
        <w:t>5. Rapportage &amp; Communicatie</w:t>
      </w:r>
    </w:p>
    <w:p>
      <w:pPr>
        <w:spacing w:after="40"/>
      </w:pPr>
      <w:r>
        <w:t>6. Archivering &amp; Bewaartermijnen</w:t>
      </w:r>
    </w:p>
    <w:p>
      <w:pPr>
        <w:spacing w:after="40"/>
      </w:pPr>
      <w:r>
        <w:t>7. Gebruiksaanwijzing XLSX Register</w:t>
      </w:r>
    </w:p>
    <w:p>
      <w:pPr>
        <w:spacing w:after="40"/>
      </w:pPr>
      <w:r>
        <w:t>Bronnenlijst</w:t>
      </w:r>
    </w:p>
    <w:p>
      <w:pPr>
        <w:spacing w:after="40"/>
      </w:pPr>
      <w:r>
        <w:t>TierVerify Log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Inleiding</w:t>
      </w:r>
    </w:p>
    <w:p>
      <w:r>
        <w:rPr>
          <w:rFonts w:ascii="Calibri" w:hAnsi="Calibri"/>
          <w:b w:val="0"/>
          <w:sz w:val="22"/>
        </w:rPr>
        <w:t>Dit document beschrijft het MoC Register en het bijbehorende KPI Dashboard voor Phoenix Metals, conform de eisen van BRZO 1999 Element IV (Management van Verandering) en VBS Element 5 [1][2].</w:t>
      </w:r>
    </w:p>
    <w:p>
      <w:r>
        <w:rPr>
          <w:rFonts w:ascii="Calibri" w:hAnsi="Calibri"/>
          <w:b w:val="0"/>
          <w:sz w:val="22"/>
        </w:rPr>
        <w:t>Het MoC Register fungeert als het centraal administratief systeem waarin alle wijzigingsaanvragen worden geregistreerd, gevolgd en afgesloten. Het register waarborgt de traceerbaarheid die Seveso III-richtlijn 2012/18/EU vereist [3].</w:t>
      </w:r>
    </w:p>
    <w:p>
      <w:pPr>
        <w:pStyle w:val="Heading2"/>
      </w:pPr>
      <w:r>
        <w:rPr>
          <w:rFonts w:ascii="Calibri" w:hAnsi="Calibri"/>
          <w:color w:val="003366"/>
        </w:rPr>
        <w:t>1.1 Doel</w:t>
      </w:r>
    </w:p>
    <w:p>
      <w:r>
        <w:rPr>
          <w:rFonts w:ascii="Calibri" w:hAnsi="Calibri"/>
          <w:b w:val="0"/>
          <w:sz w:val="22"/>
        </w:rPr>
        <w:t>• Centraal register voor alle MoC’s binnen Phoenix Metals</w:t>
      </w:r>
    </w:p>
    <w:p>
      <w:r>
        <w:rPr>
          <w:rFonts w:ascii="Calibri" w:hAnsi="Calibri"/>
          <w:b w:val="0"/>
          <w:sz w:val="22"/>
        </w:rPr>
        <w:t>• Real-time inzicht in status en voortgang van wijzigingen</w:t>
      </w:r>
    </w:p>
    <w:p>
      <w:r>
        <w:rPr>
          <w:rFonts w:ascii="Calibri" w:hAnsi="Calibri"/>
          <w:b w:val="0"/>
          <w:sz w:val="22"/>
        </w:rPr>
        <w:t>• KPI-tracking voor sturing op prestaties en compliance</w:t>
      </w:r>
    </w:p>
    <w:p>
      <w:r>
        <w:rPr>
          <w:rFonts w:ascii="Calibri" w:hAnsi="Calibri"/>
          <w:b w:val="0"/>
          <w:sz w:val="22"/>
        </w:rPr>
        <w:t>• Audit-proof administratie conform BRZO-eisen</w:t>
      </w:r>
    </w:p>
    <w:p>
      <w:pPr>
        <w:pStyle w:val="Heading2"/>
      </w:pPr>
      <w:r>
        <w:rPr>
          <w:rFonts w:ascii="Calibri" w:hAnsi="Calibri"/>
          <w:color w:val="003366"/>
        </w:rPr>
        <w:t>1.2 Referenties</w:t>
      </w:r>
    </w:p>
    <w:p>
      <w:r>
        <w:rPr>
          <w:rFonts w:ascii="Calibri" w:hAnsi="Calibri"/>
          <w:b w:val="0"/>
          <w:sz w:val="22"/>
        </w:rPr>
        <w:t>• PM_VBS05_01 — MoC Beleid &amp; Kaderdocument</w:t>
      </w:r>
    </w:p>
    <w:p>
      <w:r>
        <w:rPr>
          <w:rFonts w:ascii="Calibri" w:hAnsi="Calibri"/>
          <w:b w:val="0"/>
          <w:sz w:val="22"/>
        </w:rPr>
        <w:t>• PM_VBS05_02 — MoC Procedure (9 fasen)</w:t>
      </w:r>
    </w:p>
    <w:p>
      <w:r>
        <w:rPr>
          <w:rFonts w:ascii="Calibri" w:hAnsi="Calibri"/>
          <w:b w:val="0"/>
          <w:sz w:val="22"/>
        </w:rPr>
        <w:t>• PM_VBS05_03 — Classificatie- &amp; Risicomatrix</w:t>
      </w:r>
    </w:p>
    <w:p>
      <w:r>
        <w:rPr>
          <w:rFonts w:ascii="Calibri" w:hAnsi="Calibri"/>
          <w:b w:val="0"/>
          <w:sz w:val="22"/>
        </w:rPr>
        <w:t>• PM_VBS05_04 — Formulierenpakket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2. MoC Register — Structuur &amp; Velden</w:t>
      </w:r>
    </w:p>
    <w:p>
      <w:r>
        <w:rPr>
          <w:rFonts w:ascii="Calibri" w:hAnsi="Calibri"/>
          <w:b w:val="0"/>
          <w:sz w:val="22"/>
        </w:rPr>
        <w:t>Het MoC Register is opgebouwd als een gestructureerd Excel-werkblad met 18 kolommen. Onderstaande tabel beschrijft elk veld.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Kolom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Veldnaam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Formaat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Verplichting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Toelichting</w:t>
            </w:r>
          </w:p>
        </w:tc>
      </w:tr>
      <w:tr>
        <w:tc>
          <w:tcPr>
            <w:tcW w:type="dxa" w:w="1814"/>
          </w:tcPr>
          <w:p>
            <w:r>
              <w:t>A</w:t>
            </w:r>
          </w:p>
        </w:tc>
        <w:tc>
          <w:tcPr>
            <w:tcW w:type="dxa" w:w="1814"/>
          </w:tcPr>
          <w:p>
            <w:r>
              <w:t>MoC-nummer</w:t>
            </w:r>
          </w:p>
        </w:tc>
        <w:tc>
          <w:tcPr>
            <w:tcW w:type="dxa" w:w="1814"/>
          </w:tcPr>
          <w:p>
            <w:r>
              <w:t>PM-MoC-YYYY-NNN</w:t>
            </w:r>
          </w:p>
        </w:tc>
        <w:tc>
          <w:tcPr>
            <w:tcW w:type="dxa" w:w="1814"/>
          </w:tcPr>
          <w:p>
            <w:r>
              <w:t>Verplicht</w:t>
            </w:r>
          </w:p>
        </w:tc>
        <w:tc>
          <w:tcPr>
            <w:tcW w:type="dxa" w:w="1814"/>
          </w:tcPr>
          <w:p>
            <w:r>
              <w:t>Unieke identificatiecode</w:t>
            </w:r>
          </w:p>
        </w:tc>
      </w:tr>
      <w:tr>
        <w:tc>
          <w:tcPr>
            <w:tcW w:type="dxa" w:w="1814"/>
          </w:tcPr>
          <w:p>
            <w:r>
              <w:t>B</w:t>
            </w:r>
          </w:p>
        </w:tc>
        <w:tc>
          <w:tcPr>
            <w:tcW w:type="dxa" w:w="1814"/>
          </w:tcPr>
          <w:p>
            <w:r>
              <w:t>Aanvraagdatum</w:t>
            </w:r>
          </w:p>
        </w:tc>
        <w:tc>
          <w:tcPr>
            <w:tcW w:type="dxa" w:w="1814"/>
          </w:tcPr>
          <w:p>
            <w:r>
              <w:t>DD-MM-JJJJ</w:t>
            </w:r>
          </w:p>
        </w:tc>
        <w:tc>
          <w:tcPr>
            <w:tcW w:type="dxa" w:w="1814"/>
          </w:tcPr>
          <w:p>
            <w:r>
              <w:t>Verplicht</w:t>
            </w:r>
          </w:p>
        </w:tc>
        <w:tc>
          <w:tcPr>
            <w:tcW w:type="dxa" w:w="1814"/>
          </w:tcPr>
          <w:p>
            <w:r>
              <w:t>Datum van initiële aanvraag</w:t>
            </w:r>
          </w:p>
        </w:tc>
      </w:tr>
      <w:tr>
        <w:tc>
          <w:tcPr>
            <w:tcW w:type="dxa" w:w="1814"/>
          </w:tcPr>
          <w:p>
            <w:r>
              <w:t>C</w:t>
            </w:r>
          </w:p>
        </w:tc>
        <w:tc>
          <w:tcPr>
            <w:tcW w:type="dxa" w:w="1814"/>
          </w:tcPr>
          <w:p>
            <w:r>
              <w:t>Aanvrager</w:t>
            </w:r>
          </w:p>
        </w:tc>
        <w:tc>
          <w:tcPr>
            <w:tcW w:type="dxa" w:w="1814"/>
          </w:tcPr>
          <w:p>
            <w:r>
              <w:t>Naam + functie</w:t>
            </w:r>
          </w:p>
        </w:tc>
        <w:tc>
          <w:tcPr>
            <w:tcW w:type="dxa" w:w="1814"/>
          </w:tcPr>
          <w:p>
            <w:r>
              <w:t>Verplicht</w:t>
            </w:r>
          </w:p>
        </w:tc>
        <w:tc>
          <w:tcPr>
            <w:tcW w:type="dxa" w:w="1814"/>
          </w:tcPr>
          <w:p>
            <w:r>
              <w:t>Initiator van de wijziging</w:t>
            </w:r>
          </w:p>
        </w:tc>
      </w:tr>
      <w:tr>
        <w:tc>
          <w:tcPr>
            <w:tcW w:type="dxa" w:w="1814"/>
          </w:tcPr>
          <w:p>
            <w:r>
              <w:t>D</w:t>
            </w:r>
          </w:p>
        </w:tc>
        <w:tc>
          <w:tcPr>
            <w:tcW w:type="dxa" w:w="1814"/>
          </w:tcPr>
          <w:p>
            <w:r>
              <w:t>Afdeling</w:t>
            </w:r>
          </w:p>
        </w:tc>
        <w:tc>
          <w:tcPr>
            <w:tcW w:type="dxa" w:w="1814"/>
          </w:tcPr>
          <w:p>
            <w:r>
              <w:t>Afdelingsnaam</w:t>
            </w:r>
          </w:p>
        </w:tc>
        <w:tc>
          <w:tcPr>
            <w:tcW w:type="dxa" w:w="1814"/>
          </w:tcPr>
          <w:p>
            <w:r>
              <w:t>Verplicht</w:t>
            </w:r>
          </w:p>
        </w:tc>
        <w:tc>
          <w:tcPr>
            <w:tcW w:type="dxa" w:w="1814"/>
          </w:tcPr>
          <w:p>
            <w:r>
              <w:t>Organisatorische eenheid</w:t>
            </w:r>
          </w:p>
        </w:tc>
      </w:tr>
      <w:tr>
        <w:tc>
          <w:tcPr>
            <w:tcW w:type="dxa" w:w="1814"/>
          </w:tcPr>
          <w:p>
            <w:r>
              <w:t>E</w:t>
            </w:r>
          </w:p>
        </w:tc>
        <w:tc>
          <w:tcPr>
            <w:tcW w:type="dxa" w:w="1814"/>
          </w:tcPr>
          <w:p>
            <w:r>
              <w:t>Type wijziging</w:t>
            </w:r>
          </w:p>
        </w:tc>
        <w:tc>
          <w:tcPr>
            <w:tcW w:type="dxa" w:w="1814"/>
          </w:tcPr>
          <w:p>
            <w:r>
              <w:t>Dropdown (9 types)</w:t>
            </w:r>
          </w:p>
        </w:tc>
        <w:tc>
          <w:tcPr>
            <w:tcW w:type="dxa" w:w="1814"/>
          </w:tcPr>
          <w:p>
            <w:r>
              <w:t>Verplicht</w:t>
            </w:r>
          </w:p>
        </w:tc>
        <w:tc>
          <w:tcPr>
            <w:tcW w:type="dxa" w:w="1814"/>
          </w:tcPr>
          <w:p>
            <w:r>
              <w:t>Zie Doc 03 Classificatie</w:t>
            </w:r>
          </w:p>
        </w:tc>
      </w:tr>
      <w:tr>
        <w:tc>
          <w:tcPr>
            <w:tcW w:type="dxa" w:w="1814"/>
          </w:tcPr>
          <w:p>
            <w:r>
              <w:t>F</w:t>
            </w:r>
          </w:p>
        </w:tc>
        <w:tc>
          <w:tcPr>
            <w:tcW w:type="dxa" w:w="1814"/>
          </w:tcPr>
          <w:p>
            <w:r>
              <w:t>Omschrijving</w:t>
            </w:r>
          </w:p>
        </w:tc>
        <w:tc>
          <w:tcPr>
            <w:tcW w:type="dxa" w:w="1814"/>
          </w:tcPr>
          <w:p>
            <w:r>
              <w:t>Korte tekst</w:t>
            </w:r>
          </w:p>
        </w:tc>
        <w:tc>
          <w:tcPr>
            <w:tcW w:type="dxa" w:w="1814"/>
          </w:tcPr>
          <w:p>
            <w:r>
              <w:t>Verplicht</w:t>
            </w:r>
          </w:p>
        </w:tc>
        <w:tc>
          <w:tcPr>
            <w:tcW w:type="dxa" w:w="1814"/>
          </w:tcPr>
          <w:p>
            <w:r>
              <w:t>Beknopte beschrijving wijziging</w:t>
            </w:r>
          </w:p>
        </w:tc>
      </w:tr>
      <w:tr>
        <w:tc>
          <w:tcPr>
            <w:tcW w:type="dxa" w:w="1814"/>
          </w:tcPr>
          <w:p>
            <w:r>
              <w:t>G</w:t>
            </w:r>
          </w:p>
        </w:tc>
        <w:tc>
          <w:tcPr>
            <w:tcW w:type="dxa" w:w="1814"/>
          </w:tcPr>
          <w:p>
            <w:r>
              <w:t>Risiconiveau</w:t>
            </w:r>
          </w:p>
        </w:tc>
        <w:tc>
          <w:tcPr>
            <w:tcW w:type="dxa" w:w="1814"/>
          </w:tcPr>
          <w:p>
            <w:r>
              <w:t>Dropdown</w:t>
            </w:r>
          </w:p>
        </w:tc>
        <w:tc>
          <w:tcPr>
            <w:tcW w:type="dxa" w:w="1814"/>
          </w:tcPr>
          <w:p>
            <w:r>
              <w:t>Verplicht</w:t>
            </w:r>
          </w:p>
        </w:tc>
        <w:tc>
          <w:tcPr>
            <w:tcW w:type="dxa" w:w="1814"/>
          </w:tcPr>
          <w:p>
            <w:r>
              <w:t>Laag/Gemiddeld/Hoog/Kritiek</w:t>
            </w:r>
          </w:p>
        </w:tc>
      </w:tr>
      <w:tr>
        <w:tc>
          <w:tcPr>
            <w:tcW w:type="dxa" w:w="1814"/>
          </w:tcPr>
          <w:p>
            <w:r>
              <w:t>H</w:t>
            </w:r>
          </w:p>
        </w:tc>
        <w:tc>
          <w:tcPr>
            <w:tcW w:type="dxa" w:w="1814"/>
          </w:tcPr>
          <w:p>
            <w:r>
              <w:t>Veiligheidsstudie vereist</w:t>
            </w:r>
          </w:p>
        </w:tc>
        <w:tc>
          <w:tcPr>
            <w:tcW w:type="dxa" w:w="1814"/>
          </w:tcPr>
          <w:p>
            <w:r>
              <w:t>Ja/Nee</w:t>
            </w:r>
          </w:p>
        </w:tc>
        <w:tc>
          <w:tcPr>
            <w:tcW w:type="dxa" w:w="1814"/>
          </w:tcPr>
          <w:p>
            <w:r>
              <w:t>Verplicht</w:t>
            </w:r>
          </w:p>
        </w:tc>
        <w:tc>
          <w:tcPr>
            <w:tcW w:type="dxa" w:w="1814"/>
          </w:tcPr>
          <w:p>
            <w:r>
              <w:t>Bepaald door risiconiveau</w:t>
            </w:r>
          </w:p>
        </w:tc>
      </w:tr>
      <w:tr>
        <w:tc>
          <w:tcPr>
            <w:tcW w:type="dxa" w:w="1814"/>
          </w:tcPr>
          <w:p>
            <w:r>
              <w:t>I</w:t>
            </w:r>
          </w:p>
        </w:tc>
        <w:tc>
          <w:tcPr>
            <w:tcW w:type="dxa" w:w="1814"/>
          </w:tcPr>
          <w:p>
            <w:r>
              <w:t>Type veiligheidsstudie</w:t>
            </w:r>
          </w:p>
        </w:tc>
        <w:tc>
          <w:tcPr>
            <w:tcW w:type="dxa" w:w="1814"/>
          </w:tcPr>
          <w:p>
            <w:r>
              <w:t>Dropdown</w:t>
            </w:r>
          </w:p>
        </w:tc>
        <w:tc>
          <w:tcPr>
            <w:tcW w:type="dxa" w:w="1814"/>
          </w:tcPr>
          <w:p>
            <w:r>
              <w:t>Conditioneel</w:t>
            </w:r>
          </w:p>
        </w:tc>
        <w:tc>
          <w:tcPr>
            <w:tcW w:type="dxa" w:w="1814"/>
          </w:tcPr>
          <w:p>
            <w:r>
              <w:t>Indien H=Ja</w:t>
            </w:r>
          </w:p>
        </w:tc>
      </w:tr>
      <w:tr>
        <w:tc>
          <w:tcPr>
            <w:tcW w:type="dxa" w:w="1814"/>
          </w:tcPr>
          <w:p>
            <w:r>
              <w:t>J</w:t>
            </w:r>
          </w:p>
        </w:tc>
        <w:tc>
          <w:tcPr>
            <w:tcW w:type="dxa" w:w="1814"/>
          </w:tcPr>
          <w:p>
            <w:r>
              <w:t>Status</w:t>
            </w:r>
          </w:p>
        </w:tc>
        <w:tc>
          <w:tcPr>
            <w:tcW w:type="dxa" w:w="1814"/>
          </w:tcPr>
          <w:p>
            <w:r>
              <w:t>Dropdown</w:t>
            </w:r>
          </w:p>
        </w:tc>
        <w:tc>
          <w:tcPr>
            <w:tcW w:type="dxa" w:w="1814"/>
          </w:tcPr>
          <w:p>
            <w:r>
              <w:t>Verplicht</w:t>
            </w:r>
          </w:p>
        </w:tc>
        <w:tc>
          <w:tcPr>
            <w:tcW w:type="dxa" w:w="1814"/>
          </w:tcPr>
          <w:p>
            <w:r>
              <w:t>Zie §3 Workflow</w:t>
            </w:r>
          </w:p>
        </w:tc>
      </w:tr>
      <w:tr>
        <w:tc>
          <w:tcPr>
            <w:tcW w:type="dxa" w:w="1814"/>
          </w:tcPr>
          <w:p>
            <w:r>
              <w:t>K</w:t>
            </w:r>
          </w:p>
        </w:tc>
        <w:tc>
          <w:tcPr>
            <w:tcW w:type="dxa" w:w="1814"/>
          </w:tcPr>
          <w:p>
            <w:r>
              <w:t>Datum goedgekeurd</w:t>
            </w:r>
          </w:p>
        </w:tc>
        <w:tc>
          <w:tcPr>
            <w:tcW w:type="dxa" w:w="1814"/>
          </w:tcPr>
          <w:p>
            <w:r>
              <w:t>DD-MM-JJJJ</w:t>
            </w:r>
          </w:p>
        </w:tc>
        <w:tc>
          <w:tcPr>
            <w:tcW w:type="dxa" w:w="1814"/>
          </w:tcPr>
          <w:p>
            <w:r>
              <w:t>Conditioneel</w:t>
            </w:r>
          </w:p>
        </w:tc>
        <w:tc>
          <w:tcPr>
            <w:tcW w:type="dxa" w:w="1814"/>
          </w:tcPr>
          <w:p>
            <w:r>
              <w:t>Na goedkeuring</w:t>
            </w:r>
          </w:p>
        </w:tc>
      </w:tr>
      <w:tr>
        <w:tc>
          <w:tcPr>
            <w:tcW w:type="dxa" w:w="1814"/>
          </w:tcPr>
          <w:p>
            <w:r>
              <w:t>L</w:t>
            </w:r>
          </w:p>
        </w:tc>
        <w:tc>
          <w:tcPr>
            <w:tcW w:type="dxa" w:w="1814"/>
          </w:tcPr>
          <w:p>
            <w:r>
              <w:t>Datum ingebruikname</w:t>
            </w:r>
          </w:p>
        </w:tc>
        <w:tc>
          <w:tcPr>
            <w:tcW w:type="dxa" w:w="1814"/>
          </w:tcPr>
          <w:p>
            <w:r>
              <w:t>DD-MM-JJJJ</w:t>
            </w:r>
          </w:p>
        </w:tc>
        <w:tc>
          <w:tcPr>
            <w:tcW w:type="dxa" w:w="1814"/>
          </w:tcPr>
          <w:p>
            <w:r>
              <w:t>Conditioneel</w:t>
            </w:r>
          </w:p>
        </w:tc>
        <w:tc>
          <w:tcPr>
            <w:tcW w:type="dxa" w:w="1814"/>
          </w:tcPr>
          <w:p>
            <w:r>
              <w:t>Na PSSR (Doc 02 Fase 8)</w:t>
            </w:r>
          </w:p>
        </w:tc>
      </w:tr>
      <w:tr>
        <w:tc>
          <w:tcPr>
            <w:tcW w:type="dxa" w:w="1814"/>
          </w:tcPr>
          <w:p>
            <w:r>
              <w:t>M</w:t>
            </w:r>
          </w:p>
        </w:tc>
        <w:tc>
          <w:tcPr>
            <w:tcW w:type="dxa" w:w="1814"/>
          </w:tcPr>
          <w:p>
            <w:r>
              <w:t>Datum afsluiting</w:t>
            </w:r>
          </w:p>
        </w:tc>
        <w:tc>
          <w:tcPr>
            <w:tcW w:type="dxa" w:w="1814"/>
          </w:tcPr>
          <w:p>
            <w:r>
              <w:t>DD-MM-JJJJ</w:t>
            </w:r>
          </w:p>
        </w:tc>
        <w:tc>
          <w:tcPr>
            <w:tcW w:type="dxa" w:w="1814"/>
          </w:tcPr>
          <w:p>
            <w:r>
              <w:t>Conditioneel</w:t>
            </w:r>
          </w:p>
        </w:tc>
        <w:tc>
          <w:tcPr>
            <w:tcW w:type="dxa" w:w="1814"/>
          </w:tcPr>
          <w:p>
            <w:r>
              <w:t>Na evaluatie (Doc 02 Fase 9)</w:t>
            </w:r>
          </w:p>
        </w:tc>
      </w:tr>
      <w:tr>
        <w:tc>
          <w:tcPr>
            <w:tcW w:type="dxa" w:w="1814"/>
          </w:tcPr>
          <w:p>
            <w:r>
              <w:t>N</w:t>
            </w:r>
          </w:p>
        </w:tc>
        <w:tc>
          <w:tcPr>
            <w:tcW w:type="dxa" w:w="1814"/>
          </w:tcPr>
          <w:p>
            <w:r>
              <w:t>Doorlooptijd dagen</w:t>
            </w:r>
          </w:p>
        </w:tc>
        <w:tc>
          <w:tcPr>
            <w:tcW w:type="dxa" w:w="1814"/>
          </w:tcPr>
          <w:p>
            <w:r>
              <w:t>Formule</w:t>
            </w:r>
          </w:p>
        </w:tc>
        <w:tc>
          <w:tcPr>
            <w:tcW w:type="dxa" w:w="1814"/>
          </w:tcPr>
          <w:p>
            <w:r>
              <w:t>Automatisch</w:t>
            </w:r>
          </w:p>
        </w:tc>
        <w:tc>
          <w:tcPr>
            <w:tcW w:type="dxa" w:w="1814"/>
          </w:tcPr>
          <w:p>
            <w:r>
              <w:t>=L−B</w:t>
            </w:r>
          </w:p>
        </w:tc>
      </w:tr>
      <w:tr>
        <w:tc>
          <w:tcPr>
            <w:tcW w:type="dxa" w:w="1814"/>
          </w:tcPr>
          <w:p>
            <w:r>
              <w:t>O</w:t>
            </w:r>
          </w:p>
        </w:tc>
        <w:tc>
          <w:tcPr>
            <w:tcW w:type="dxa" w:w="1814"/>
          </w:tcPr>
          <w:p>
            <w:r>
              <w:t>Openstaande acties</w:t>
            </w:r>
          </w:p>
        </w:tc>
        <w:tc>
          <w:tcPr>
            <w:tcW w:type="dxa" w:w="1814"/>
          </w:tcPr>
          <w:p>
            <w:r>
              <w:t>Aantal</w:t>
            </w:r>
          </w:p>
        </w:tc>
        <w:tc>
          <w:tcPr>
            <w:tcW w:type="dxa" w:w="1814"/>
          </w:tcPr>
          <w:p>
            <w:r>
              <w:t>Verplicht</w:t>
            </w:r>
          </w:p>
        </w:tc>
        <w:tc>
          <w:tcPr>
            <w:tcW w:type="dxa" w:w="1814"/>
          </w:tcPr>
          <w:p>
            <w:r>
              <w:t>Acties na ingebruikname</w:t>
            </w:r>
          </w:p>
        </w:tc>
      </w:tr>
      <w:tr>
        <w:tc>
          <w:tcPr>
            <w:tcW w:type="dxa" w:w="1814"/>
          </w:tcPr>
          <w:p>
            <w:r>
              <w:t>P</w:t>
            </w:r>
          </w:p>
        </w:tc>
        <w:tc>
          <w:tcPr>
            <w:tcW w:type="dxa" w:w="1814"/>
          </w:tcPr>
          <w:p>
            <w:r>
              <w:t>Is spoed-MoC?</w:t>
            </w:r>
          </w:p>
        </w:tc>
        <w:tc>
          <w:tcPr>
            <w:tcW w:type="dxa" w:w="1814"/>
          </w:tcPr>
          <w:p>
            <w:r>
              <w:t>Ja/Nee</w:t>
            </w:r>
          </w:p>
        </w:tc>
        <w:tc>
          <w:tcPr>
            <w:tcW w:type="dxa" w:w="1814"/>
          </w:tcPr>
          <w:p>
            <w:r>
              <w:t>Verplicht</w:t>
            </w:r>
          </w:p>
        </w:tc>
        <w:tc>
          <w:tcPr>
            <w:tcW w:type="dxa" w:w="1814"/>
          </w:tcPr>
          <w:p>
            <w:r>
              <w:t>Verkorte procedure</w:t>
            </w:r>
          </w:p>
        </w:tc>
      </w:tr>
      <w:tr>
        <w:tc>
          <w:tcPr>
            <w:tcW w:type="dxa" w:w="1814"/>
          </w:tcPr>
          <w:p>
            <w:r>
              <w:t>Q</w:t>
            </w:r>
          </w:p>
        </w:tc>
        <w:tc>
          <w:tcPr>
            <w:tcW w:type="dxa" w:w="1814"/>
          </w:tcPr>
          <w:p>
            <w:r>
              <w:t>Evaluatie uitgevoerd?</w:t>
            </w:r>
          </w:p>
        </w:tc>
        <w:tc>
          <w:tcPr>
            <w:tcW w:type="dxa" w:w="1814"/>
          </w:tcPr>
          <w:p>
            <w:r>
              <w:t>Ja/Nee</w:t>
            </w:r>
          </w:p>
        </w:tc>
        <w:tc>
          <w:tcPr>
            <w:tcW w:type="dxa" w:w="1814"/>
          </w:tcPr>
          <w:p>
            <w:r>
              <w:t>Conditioneel</w:t>
            </w:r>
          </w:p>
        </w:tc>
        <w:tc>
          <w:tcPr>
            <w:tcW w:type="dxa" w:w="1814"/>
          </w:tcPr>
          <w:p>
            <w:r>
              <w:t>Na Fase 9 evaluatie</w:t>
            </w:r>
          </w:p>
        </w:tc>
      </w:tr>
      <w:tr>
        <w:tc>
          <w:tcPr>
            <w:tcW w:type="dxa" w:w="1814"/>
          </w:tcPr>
          <w:p>
            <w:r>
              <w:t>R</w:t>
            </w:r>
          </w:p>
        </w:tc>
        <w:tc>
          <w:tcPr>
            <w:tcW w:type="dxa" w:w="1814"/>
          </w:tcPr>
          <w:p>
            <w:r>
              <w:t>Opmerkingen</w:t>
            </w:r>
          </w:p>
        </w:tc>
        <w:tc>
          <w:tcPr>
            <w:tcW w:type="dxa" w:w="1814"/>
          </w:tcPr>
          <w:p>
            <w:r>
              <w:t>Vrije tekst</w:t>
            </w:r>
          </w:p>
        </w:tc>
        <w:tc>
          <w:tcPr>
            <w:tcW w:type="dxa" w:w="1814"/>
          </w:tcPr>
          <w:p>
            <w:r>
              <w:t>Optioneel</w:t>
            </w:r>
          </w:p>
        </w:tc>
        <w:tc>
          <w:tcPr>
            <w:tcW w:type="dxa" w:w="1814"/>
          </w:tcPr>
          <w:p>
            <w:r>
              <w:t>Aanvullende informatie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2.1 Statussen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4536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Omschrijving</w:t>
            </w:r>
          </w:p>
        </w:tc>
      </w:tr>
      <w:tr>
        <w:tc>
          <w:tcPr>
            <w:tcW w:type="dxa" w:w="4536"/>
          </w:tcPr>
          <w:p>
            <w:r>
              <w:t>Aangevraagd</w:t>
            </w:r>
          </w:p>
        </w:tc>
        <w:tc>
          <w:tcPr>
            <w:tcW w:type="dxa" w:w="4536"/>
          </w:tcPr>
          <w:p>
            <w:r>
              <w:t>Initiële status na indiening FM-501</w:t>
            </w:r>
          </w:p>
        </w:tc>
      </w:tr>
      <w:tr>
        <w:tc>
          <w:tcPr>
            <w:tcW w:type="dxa" w:w="4536"/>
          </w:tcPr>
          <w:p>
            <w:r>
              <w:t>In behandeling</w:t>
            </w:r>
          </w:p>
        </w:tc>
        <w:tc>
          <w:tcPr>
            <w:tcW w:type="dxa" w:w="4536"/>
          </w:tcPr>
          <w:p>
            <w:r>
              <w:t>MoC-coördinator heeft aanvraag toegewezen</w:t>
            </w:r>
          </w:p>
        </w:tc>
      </w:tr>
      <w:tr>
        <w:tc>
          <w:tcPr>
            <w:tcW w:type="dxa" w:w="4536"/>
          </w:tcPr>
          <w:p>
            <w:r>
              <w:t>Goedgekeurd</w:t>
            </w:r>
          </w:p>
        </w:tc>
        <w:tc>
          <w:tcPr>
            <w:tcW w:type="dxa" w:w="4536"/>
          </w:tcPr>
          <w:p>
            <w:r>
              <w:t>Bevoegde goedkeurder heeft akkoord gegeven</w:t>
            </w:r>
          </w:p>
        </w:tc>
      </w:tr>
      <w:tr>
        <w:tc>
          <w:tcPr>
            <w:tcW w:type="dxa" w:w="4536"/>
          </w:tcPr>
          <w:p>
            <w:r>
              <w:t>Uitvoering</w:t>
            </w:r>
          </w:p>
        </w:tc>
        <w:tc>
          <w:tcPr>
            <w:tcW w:type="dxa" w:w="4536"/>
          </w:tcPr>
          <w:p>
            <w:r>
              <w:t>Wijziging wordt fysiek/georganiseerd uitgevoerd</w:t>
            </w:r>
          </w:p>
        </w:tc>
      </w:tr>
      <w:tr>
        <w:tc>
          <w:tcPr>
            <w:tcW w:type="dxa" w:w="4536"/>
          </w:tcPr>
          <w:p>
            <w:r>
              <w:t>PSSR</w:t>
            </w:r>
          </w:p>
        </w:tc>
        <w:tc>
          <w:tcPr>
            <w:tcW w:type="dxa" w:w="4536"/>
          </w:tcPr>
          <w:p>
            <w:r>
              <w:t>Pre-Startup Safety Review uitgevoerd (FM-505)</w:t>
            </w:r>
          </w:p>
        </w:tc>
      </w:tr>
      <w:tr>
        <w:tc>
          <w:tcPr>
            <w:tcW w:type="dxa" w:w="4536"/>
          </w:tcPr>
          <w:p>
            <w:r>
              <w:t>Afgesloten</w:t>
            </w:r>
          </w:p>
        </w:tc>
        <w:tc>
          <w:tcPr>
            <w:tcW w:type="dxa" w:w="4536"/>
          </w:tcPr>
          <w:p>
            <w:r>
              <w:t>Wijziging volledig geïmplementeerd en geëvalueerd</w:t>
            </w:r>
          </w:p>
        </w:tc>
      </w:tr>
      <w:tr>
        <w:tc>
          <w:tcPr>
            <w:tcW w:type="dxa" w:w="4536"/>
          </w:tcPr>
          <w:p>
            <w:r>
              <w:t>Afgewezen</w:t>
            </w:r>
          </w:p>
        </w:tc>
        <w:tc>
          <w:tcPr>
            <w:tcW w:type="dxa" w:w="4536"/>
          </w:tcPr>
          <w:p>
            <w:r>
              <w:t>Aanvraag geweigerd met argumentatie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2.2 Prioriteitsclassificatie</w:t>
      </w:r>
    </w:p>
    <w:p>
      <w:r>
        <w:rPr>
          <w:rFonts w:ascii="Calibri" w:hAnsi="Calibri"/>
          <w:b w:val="0"/>
          <w:sz w:val="22"/>
        </w:rPr>
        <w:t>• Kritiek — Goedkeuring door Directie, maximale doorlooptijd 30 werkdagen</w:t>
      </w:r>
    </w:p>
    <w:p>
      <w:r>
        <w:rPr>
          <w:rFonts w:ascii="Calibri" w:hAnsi="Calibri"/>
          <w:b w:val="0"/>
          <w:sz w:val="22"/>
        </w:rPr>
        <w:t>• Hoog — Goedkeuring door HSEQ Manager, maximale doorlooptijd 20 werkdagen</w:t>
      </w:r>
    </w:p>
    <w:p>
      <w:r>
        <w:rPr>
          <w:rFonts w:ascii="Calibri" w:hAnsi="Calibri"/>
          <w:b w:val="0"/>
          <w:sz w:val="22"/>
        </w:rPr>
        <w:t>• Gemiddeld — Goedkeuring door Afdelingshoofd, maximale doorlooptijd 15 werkdagen</w:t>
      </w:r>
    </w:p>
    <w:p>
      <w:r>
        <w:rPr>
          <w:rFonts w:ascii="Calibri" w:hAnsi="Calibri"/>
          <w:b w:val="0"/>
          <w:sz w:val="22"/>
        </w:rPr>
        <w:t>• Laag — Goedkeuring door Afdelingshoofd, maximale doorlooptijd 10 werkdagen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3. Workflow &amp; Statusovergangen</w:t>
      </w:r>
    </w:p>
    <w:p>
      <w:pPr>
        <w:pStyle w:val="Heading2"/>
      </w:pPr>
      <w:r>
        <w:rPr>
          <w:rFonts w:ascii="Calibri" w:hAnsi="Calibri"/>
          <w:color w:val="003366"/>
        </w:rPr>
        <w:t>3.1 Toegestane overgangen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Van status</w:t>
            </w:r>
          </w:p>
        </w:tc>
        <w:tc>
          <w:tcPr>
            <w:tcW w:type="dxa" w:w="4536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Naar status (toegestaan)</w:t>
            </w:r>
          </w:p>
        </w:tc>
      </w:tr>
      <w:tr>
        <w:tc>
          <w:tcPr>
            <w:tcW w:type="dxa" w:w="4536"/>
          </w:tcPr>
          <w:p>
            <w:r>
              <w:t>Aangevraagd</w:t>
            </w:r>
          </w:p>
        </w:tc>
        <w:tc>
          <w:tcPr>
            <w:tcW w:type="dxa" w:w="4536"/>
          </w:tcPr>
          <w:p>
            <w:r>
              <w:t>In behandeling / Afgewezen</w:t>
            </w:r>
          </w:p>
        </w:tc>
      </w:tr>
      <w:tr>
        <w:tc>
          <w:tcPr>
            <w:tcW w:type="dxa" w:w="4536"/>
          </w:tcPr>
          <w:p>
            <w:r>
              <w:t>In behandeling</w:t>
            </w:r>
          </w:p>
        </w:tc>
        <w:tc>
          <w:tcPr>
            <w:tcW w:type="dxa" w:w="4536"/>
          </w:tcPr>
          <w:p>
            <w:r>
              <w:t>Goedgekeurd / Afgewezen</w:t>
            </w:r>
          </w:p>
        </w:tc>
      </w:tr>
      <w:tr>
        <w:tc>
          <w:tcPr>
            <w:tcW w:type="dxa" w:w="4536"/>
          </w:tcPr>
          <w:p>
            <w:r>
              <w:t>Goedgekeurd</w:t>
            </w:r>
          </w:p>
        </w:tc>
        <w:tc>
          <w:tcPr>
            <w:tcW w:type="dxa" w:w="4536"/>
          </w:tcPr>
          <w:p>
            <w:r>
              <w:t>Uitvoering / Afgewezen</w:t>
            </w:r>
          </w:p>
        </w:tc>
      </w:tr>
      <w:tr>
        <w:tc>
          <w:tcPr>
            <w:tcW w:type="dxa" w:w="4536"/>
          </w:tcPr>
          <w:p>
            <w:r>
              <w:t>Uitvoering</w:t>
            </w:r>
          </w:p>
        </w:tc>
        <w:tc>
          <w:tcPr>
            <w:tcW w:type="dxa" w:w="4536"/>
          </w:tcPr>
          <w:p>
            <w:r>
              <w:t>PSSR</w:t>
            </w:r>
          </w:p>
        </w:tc>
      </w:tr>
      <w:tr>
        <w:tc>
          <w:tcPr>
            <w:tcW w:type="dxa" w:w="4536"/>
          </w:tcPr>
          <w:p>
            <w:r>
              <w:t>PSSR</w:t>
            </w:r>
          </w:p>
        </w:tc>
        <w:tc>
          <w:tcPr>
            <w:tcW w:type="dxa" w:w="4536"/>
          </w:tcPr>
          <w:p>
            <w:r>
              <w:t>Afgesloten / Uitvoering (bij openstaande acties)</w:t>
            </w:r>
          </w:p>
        </w:tc>
      </w:tr>
      <w:tr>
        <w:tc>
          <w:tcPr>
            <w:tcW w:type="dxa" w:w="4536"/>
          </w:tcPr>
          <w:p>
            <w:r>
              <w:t>Afgesloten</w:t>
            </w:r>
          </w:p>
        </w:tc>
        <w:tc>
          <w:tcPr>
            <w:tcW w:type="dxa" w:w="4536"/>
          </w:tcPr>
          <w:p>
            <w:r>
              <w:t>— (eindstatus)</w:t>
            </w:r>
          </w:p>
        </w:tc>
      </w:tr>
      <w:tr>
        <w:tc>
          <w:tcPr>
            <w:tcW w:type="dxa" w:w="4536"/>
          </w:tcPr>
          <w:p>
            <w:r>
              <w:t>Afgewezen</w:t>
            </w:r>
          </w:p>
        </w:tc>
        <w:tc>
          <w:tcPr>
            <w:tcW w:type="dxa" w:w="4536"/>
          </w:tcPr>
          <w:p>
            <w:r>
              <w:t>— (eindstatus)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3.2 Bevoegdheden statuswijziging</w:t>
      </w:r>
    </w:p>
    <w:p>
      <w:r>
        <w:rPr>
          <w:rFonts w:ascii="Calibri" w:hAnsi="Calibri"/>
          <w:b w:val="0"/>
          <w:sz w:val="22"/>
        </w:rPr>
        <w:t>De RACI-matrix uit Doc 02 (MoC Procedure §4) bepaalt wie statussen mag wijzigen:</w:t>
      </w:r>
    </w:p>
    <w:p>
      <w:r>
        <w:rPr>
          <w:rFonts w:ascii="Calibri" w:hAnsi="Calibri"/>
          <w:b w:val="0"/>
          <w:sz w:val="22"/>
        </w:rPr>
        <w:t>• MoC-coördinator — Alle statusovergangen behalve definitieve afsluiting</w:t>
      </w:r>
    </w:p>
    <w:p>
      <w:r>
        <w:rPr>
          <w:rFonts w:ascii="Calibri" w:hAnsi="Calibri"/>
          <w:b w:val="0"/>
          <w:sz w:val="22"/>
        </w:rPr>
        <w:t>• Goedkeurder — Statuswijziging naar ‘Goedgekeurd’</w:t>
      </w:r>
    </w:p>
    <w:p>
      <w:r>
        <w:rPr>
          <w:rFonts w:ascii="Calibri" w:hAnsi="Calibri"/>
          <w:b w:val="0"/>
          <w:sz w:val="22"/>
        </w:rPr>
        <w:t>• HSEQ Manager — Statuswijziging naar ‘Afgesloten’ na evaluatie</w:t>
      </w:r>
    </w:p>
    <w:p>
      <w:r>
        <w:rPr>
          <w:rFonts w:ascii="Calibri" w:hAnsi="Calibri"/>
          <w:b w:val="0"/>
          <w:sz w:val="22"/>
        </w:rPr>
        <w:t>• Directie — Goedkeuring bij risiconiveau Kritiek</w:t>
      </w:r>
    </w:p>
    <w:p>
      <w:pPr>
        <w:pStyle w:val="Heading2"/>
      </w:pPr>
      <w:r>
        <w:rPr>
          <w:rFonts w:ascii="Calibri" w:hAnsi="Calibri"/>
          <w:color w:val="003366"/>
        </w:rPr>
        <w:t>3.3 Escalatieregeling</w:t>
      </w:r>
    </w:p>
    <w:p>
      <w:r>
        <w:rPr>
          <w:rFonts w:ascii="Calibri" w:hAnsi="Calibri"/>
          <w:b w:val="0"/>
          <w:sz w:val="22"/>
        </w:rPr>
        <w:t>• &gt;5 werkdagen over termijn — MoC-coördinator herinnert verantwoordelijke</w:t>
      </w:r>
    </w:p>
    <w:p>
      <w:r>
        <w:rPr>
          <w:rFonts w:ascii="Calibri" w:hAnsi="Calibri"/>
          <w:b w:val="0"/>
          <w:sz w:val="22"/>
        </w:rPr>
        <w:t>• &gt;10 werkdagen over termijn — Escalatie naar HSEQ Manager</w:t>
      </w:r>
    </w:p>
    <w:p>
      <w:r>
        <w:rPr>
          <w:rFonts w:ascii="Calibri" w:hAnsi="Calibri"/>
          <w:b w:val="0"/>
          <w:sz w:val="22"/>
        </w:rPr>
        <w:t>• &gt;20 werkdagen over termijn — Escalatie naar Directie</w:t>
      </w:r>
    </w:p>
    <w:p>
      <w:r>
        <w:rPr>
          <w:rFonts w:ascii="Calibri" w:hAnsi="Calibri"/>
          <w:b w:val="0"/>
          <w:sz w:val="22"/>
        </w:rPr>
        <w:t>• Openstaande acties &gt;30 dagen na ingebruikname — Automatische blokkade nieuwe MoC’s voor betreffende afdeling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4. KPI Dashboard</w:t>
      </w:r>
    </w:p>
    <w:p>
      <w:r>
        <w:rPr>
          <w:rFonts w:ascii="Calibri" w:hAnsi="Calibri"/>
          <w:b w:val="0"/>
          <w:sz w:val="22"/>
        </w:rPr>
        <w:t>Het KPI Dashboard biedt sturingsinformatie over de effectiviteit en efficiëntie van het MoC-proces [1][4].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KPI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Naam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Omschrijving</w:t>
            </w:r>
          </w:p>
        </w:tc>
      </w:tr>
      <w:tr>
        <w:tc>
          <w:tcPr>
            <w:tcW w:type="dxa" w:w="2268"/>
          </w:tcPr>
          <w:p>
            <w:r>
              <w:t>KPI 1</w:t>
            </w:r>
          </w:p>
        </w:tc>
        <w:tc>
          <w:tcPr>
            <w:tcW w:type="dxa" w:w="2268"/>
          </w:tcPr>
          <w:p>
            <w:r>
              <w:t>Gemiddelde doorlooptijd MoC</w:t>
            </w:r>
          </w:p>
        </w:tc>
        <w:tc>
          <w:tcPr>
            <w:tcW w:type="dxa" w:w="2268"/>
          </w:tcPr>
          <w:p>
            <w:r>
              <w:t>&lt;15 werkdagen (regulier)</w:t>
            </w:r>
          </w:p>
        </w:tc>
        <w:tc>
          <w:tcPr>
            <w:tcW w:type="dxa" w:w="2268"/>
          </w:tcPr>
          <w:p>
            <w:r>
              <w:t>Doorlooptijd aanvraag tot ingebruikname</w:t>
            </w:r>
          </w:p>
        </w:tc>
      </w:tr>
      <w:tr>
        <w:tc>
          <w:tcPr>
            <w:tcW w:type="dxa" w:w="2268"/>
          </w:tcPr>
          <w:p>
            <w:r>
              <w:t>KPI 2</w:t>
            </w:r>
          </w:p>
        </w:tc>
        <w:tc>
          <w:tcPr>
            <w:tcW w:type="dxa" w:w="2268"/>
          </w:tcPr>
          <w:p>
            <w:r>
              <w:t>% MoC's met veiligheidsstudie</w:t>
            </w:r>
          </w:p>
        </w:tc>
        <w:tc>
          <w:tcPr>
            <w:tcW w:type="dxa" w:w="2268"/>
          </w:tcPr>
          <w:p>
            <w:r>
              <w:t>100% conform risiconiveau</w:t>
            </w:r>
          </w:p>
        </w:tc>
        <w:tc>
          <w:tcPr>
            <w:tcW w:type="dxa" w:w="2268"/>
          </w:tcPr>
          <w:p>
            <w:r>
              <w:t>Uitgevoerd t.o.v. vereist</w:t>
            </w:r>
          </w:p>
        </w:tc>
      </w:tr>
      <w:tr>
        <w:tc>
          <w:tcPr>
            <w:tcW w:type="dxa" w:w="2268"/>
          </w:tcPr>
          <w:p>
            <w:r>
              <w:t>KPI 3</w:t>
            </w:r>
          </w:p>
        </w:tc>
        <w:tc>
          <w:tcPr>
            <w:tcW w:type="dxa" w:w="2268"/>
          </w:tcPr>
          <w:p>
            <w:r>
              <w:t>Openstaande acties na ingebruikname</w:t>
            </w:r>
          </w:p>
        </w:tc>
        <w:tc>
          <w:tcPr>
            <w:tcW w:type="dxa" w:w="2268"/>
          </w:tcPr>
          <w:p>
            <w:r>
              <w:t>&lt;10%</w:t>
            </w:r>
          </w:p>
        </w:tc>
        <w:tc>
          <w:tcPr>
            <w:tcW w:type="dxa" w:w="2268"/>
          </w:tcPr>
          <w:p>
            <w:r>
              <w:t>% MoC's met &gt;0 openstaande acties na PSSR</w:t>
            </w:r>
          </w:p>
        </w:tc>
      </w:tr>
      <w:tr>
        <w:tc>
          <w:tcPr>
            <w:tcW w:type="dxa" w:w="2268"/>
          </w:tcPr>
          <w:p>
            <w:r>
              <w:t>KPI 4</w:t>
            </w:r>
          </w:p>
        </w:tc>
        <w:tc>
          <w:tcPr>
            <w:tcW w:type="dxa" w:w="2268"/>
          </w:tcPr>
          <w:p>
            <w:r>
              <w:t>Ratio spoed-MoC vs regulier</w:t>
            </w:r>
          </w:p>
        </w:tc>
        <w:tc>
          <w:tcPr>
            <w:tcW w:type="dxa" w:w="2268"/>
          </w:tcPr>
          <w:p>
            <w:r>
              <w:t>&lt;20%</w:t>
            </w:r>
          </w:p>
        </w:tc>
        <w:tc>
          <w:tcPr>
            <w:tcW w:type="dxa" w:w="2268"/>
          </w:tcPr>
          <w:p>
            <w:r>
              <w:t>Spoed t.o.v. totaal</w:t>
            </w:r>
          </w:p>
        </w:tc>
      </w:tr>
      <w:tr>
        <w:tc>
          <w:tcPr>
            <w:tcW w:type="dxa" w:w="2268"/>
          </w:tcPr>
          <w:p>
            <w:r>
              <w:t>KPI 5</w:t>
            </w:r>
          </w:p>
        </w:tc>
        <w:tc>
          <w:tcPr>
            <w:tcW w:type="dxa" w:w="2268"/>
          </w:tcPr>
          <w:p>
            <w:r>
              <w:t>Verdeling per wijzigingstype</w:t>
            </w:r>
          </w:p>
        </w:tc>
        <w:tc>
          <w:tcPr>
            <w:tcW w:type="dxa" w:w="2268"/>
          </w:tcPr>
          <w:p>
            <w:r>
              <w:t>Monitoring</w:t>
            </w:r>
          </w:p>
        </w:tc>
        <w:tc>
          <w:tcPr>
            <w:tcW w:type="dxa" w:w="2268"/>
          </w:tcPr>
          <w:p>
            <w:r>
              <w:t>Aantal per classificatiecategorie</w:t>
            </w:r>
          </w:p>
        </w:tc>
      </w:tr>
      <w:tr>
        <w:tc>
          <w:tcPr>
            <w:tcW w:type="dxa" w:w="2268"/>
          </w:tcPr>
          <w:p>
            <w:r>
              <w:t>KPI 6</w:t>
            </w:r>
          </w:p>
        </w:tc>
        <w:tc>
          <w:tcPr>
            <w:tcW w:type="dxa" w:w="2268"/>
          </w:tcPr>
          <w:p>
            <w:r>
              <w:t>% afgesloten binnen termijn</w:t>
            </w:r>
          </w:p>
        </w:tc>
        <w:tc>
          <w:tcPr>
            <w:tcW w:type="dxa" w:w="2268"/>
          </w:tcPr>
          <w:p>
            <w:r>
              <w:t>&gt;90%</w:t>
            </w:r>
          </w:p>
        </w:tc>
        <w:tc>
          <w:tcPr>
            <w:tcW w:type="dxa" w:w="2268"/>
          </w:tcPr>
          <w:p>
            <w:r>
              <w:t>Binnen maximale doorlooptijd per risiconiveau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4.1 Rapportagefrequentie</w:t>
      </w:r>
    </w:p>
    <w:p>
      <w:r>
        <w:rPr>
          <w:rFonts w:ascii="Calibri" w:hAnsi="Calibri"/>
          <w:b w:val="0"/>
          <w:sz w:val="22"/>
        </w:rPr>
        <w:t>• Maandelijks — MoC-coördinator genereert KPI-overzicht voor HSEQ Manager</w:t>
      </w:r>
    </w:p>
    <w:p>
      <w:r>
        <w:rPr>
          <w:rFonts w:ascii="Calibri" w:hAnsi="Calibri"/>
          <w:b w:val="0"/>
          <w:sz w:val="22"/>
        </w:rPr>
        <w:t>• Kwartaallijks — HSEQ Manager presenteert dashboard aan Directie</w:t>
      </w:r>
    </w:p>
    <w:p>
      <w:r>
        <w:rPr>
          <w:rFonts w:ascii="Calibri" w:hAnsi="Calibri"/>
          <w:b w:val="0"/>
          <w:sz w:val="22"/>
        </w:rPr>
        <w:t>• Jaarlijks — Input voor VBS Element VII rapportage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5. Rapportage &amp; Communicatie</w:t>
      </w:r>
    </w:p>
    <w:p>
      <w:pPr>
        <w:pStyle w:val="Heading2"/>
      </w:pPr>
      <w:r>
        <w:rPr>
          <w:rFonts w:ascii="Calibri" w:hAnsi="Calibri"/>
          <w:color w:val="003366"/>
        </w:rPr>
        <w:t>5.1 Maandelijks MoC-status rapport</w:t>
      </w:r>
    </w:p>
    <w:p>
      <w:r>
        <w:rPr>
          <w:rFonts w:ascii="Calibri" w:hAnsi="Calibri"/>
          <w:b w:val="0"/>
          <w:sz w:val="22"/>
        </w:rPr>
        <w:t>Verantwoordelijke: MoC-coördinator | Ontvangers: HSEQ Manager, Afdelingshoofden</w:t>
      </w:r>
    </w:p>
    <w:p>
      <w:r>
        <w:rPr>
          <w:rFonts w:ascii="Calibri" w:hAnsi="Calibri"/>
          <w:b w:val="0"/>
          <w:sz w:val="22"/>
        </w:rPr>
        <w:t>• Aantal openstaande MoC’s per status</w:t>
      </w:r>
    </w:p>
    <w:p>
      <w:r>
        <w:rPr>
          <w:rFonts w:ascii="Calibri" w:hAnsi="Calibri"/>
          <w:b w:val="0"/>
          <w:sz w:val="22"/>
        </w:rPr>
        <w:t>• Nieuwe aanvragen afgelopen maand</w:t>
      </w:r>
    </w:p>
    <w:p>
      <w:r>
        <w:rPr>
          <w:rFonts w:ascii="Calibri" w:hAnsi="Calibri"/>
          <w:b w:val="0"/>
          <w:sz w:val="22"/>
        </w:rPr>
        <w:t>• Afgesloten MoC’s met doorlooptijd</w:t>
      </w:r>
    </w:p>
    <w:p>
      <w:r>
        <w:rPr>
          <w:rFonts w:ascii="Calibri" w:hAnsi="Calibri"/>
          <w:b w:val="0"/>
          <w:sz w:val="22"/>
        </w:rPr>
        <w:t>• Overschrijdingen van doorlooptijdtermijnen</w:t>
      </w:r>
    </w:p>
    <w:p>
      <w:r>
        <w:rPr>
          <w:rFonts w:ascii="Calibri" w:hAnsi="Calibri"/>
          <w:b w:val="0"/>
          <w:sz w:val="22"/>
        </w:rPr>
        <w:t>• Actiepunten uit vorige rapportage</w:t>
      </w:r>
    </w:p>
    <w:p>
      <w:pPr>
        <w:pStyle w:val="Heading2"/>
      </w:pPr>
      <w:r>
        <w:rPr>
          <w:rFonts w:ascii="Calibri" w:hAnsi="Calibri"/>
          <w:color w:val="003366"/>
        </w:rPr>
        <w:t>5.2 Kwartaallijks directie-overzicht</w:t>
      </w:r>
    </w:p>
    <w:p>
      <w:r>
        <w:rPr>
          <w:rFonts w:ascii="Calibri" w:hAnsi="Calibri"/>
          <w:b w:val="0"/>
          <w:sz w:val="22"/>
        </w:rPr>
        <w:t>Verantwoordelijke: HSEQ Manager | Ontvangers: Directie</w:t>
      </w:r>
    </w:p>
    <w:p>
      <w:r>
        <w:rPr>
          <w:rFonts w:ascii="Calibri" w:hAnsi="Calibri"/>
          <w:b w:val="0"/>
          <w:sz w:val="22"/>
        </w:rPr>
        <w:t>• KPI-dashboard (6 KPI’s met trend)</w:t>
      </w:r>
    </w:p>
    <w:p>
      <w:r>
        <w:rPr>
          <w:rFonts w:ascii="Calibri" w:hAnsi="Calibri"/>
          <w:b w:val="0"/>
          <w:sz w:val="22"/>
        </w:rPr>
        <w:t>• Top-5 langlopende MoC’s met oorzaak</w:t>
      </w:r>
    </w:p>
    <w:p>
      <w:r>
        <w:rPr>
          <w:rFonts w:ascii="Calibri" w:hAnsi="Calibri"/>
          <w:b w:val="0"/>
          <w:sz w:val="22"/>
        </w:rPr>
        <w:t>• Ratio spoed-MoC trend</w:t>
      </w:r>
    </w:p>
    <w:p>
      <w:r>
        <w:rPr>
          <w:rFonts w:ascii="Calibri" w:hAnsi="Calibri"/>
          <w:b w:val="0"/>
          <w:sz w:val="22"/>
        </w:rPr>
        <w:t>• Aanbevelingen voor procesverbetering</w:t>
      </w:r>
    </w:p>
    <w:p>
      <w:pPr>
        <w:pStyle w:val="Heading2"/>
      </w:pPr>
      <w:r>
        <w:rPr>
          <w:rFonts w:ascii="Calibri" w:hAnsi="Calibri"/>
          <w:color w:val="003366"/>
        </w:rPr>
        <w:t>5.3 Jaarlijks VBS Element IV rapport</w:t>
      </w:r>
    </w:p>
    <w:p>
      <w:r>
        <w:rPr>
          <w:rFonts w:ascii="Calibri" w:hAnsi="Calibri"/>
          <w:b w:val="0"/>
          <w:sz w:val="22"/>
        </w:rPr>
        <w:t>Verantwoordelijke: HSEQ Manager. Dit rapport dient als input voor VBS Element VII (Evaluatie en Verbeterplan):</w:t>
      </w:r>
    </w:p>
    <w:p>
      <w:r>
        <w:rPr>
          <w:rFonts w:ascii="Calibri" w:hAnsi="Calibri"/>
          <w:b w:val="0"/>
          <w:sz w:val="22"/>
        </w:rPr>
        <w:t>• Jaaroverzicht KPI’s met benchmark t.o.v. vorig jaar</w:t>
      </w:r>
    </w:p>
    <w:p>
      <w:r>
        <w:rPr>
          <w:rFonts w:ascii="Calibri" w:hAnsi="Calibri"/>
          <w:b w:val="0"/>
          <w:sz w:val="22"/>
        </w:rPr>
        <w:t>• Trendanalyse over 3 jaar</w:t>
      </w:r>
    </w:p>
    <w:p>
      <w:r>
        <w:rPr>
          <w:rFonts w:ascii="Calibri" w:hAnsi="Calibri"/>
          <w:b w:val="0"/>
          <w:sz w:val="22"/>
        </w:rPr>
        <w:t>• Geïdentificeerde systeemzwaktes en verbeteracties</w:t>
      </w:r>
    </w:p>
    <w:p>
      <w:r>
        <w:rPr>
          <w:rFonts w:ascii="Calibri" w:hAnsi="Calibri"/>
          <w:b w:val="0"/>
          <w:sz w:val="22"/>
        </w:rPr>
        <w:t>• Compliance-status conform BRZO 1999 [1]</w:t>
      </w:r>
    </w:p>
    <w:p>
      <w:pPr>
        <w:pStyle w:val="Heading2"/>
      </w:pPr>
      <w:r>
        <w:rPr>
          <w:rFonts w:ascii="Calibri" w:hAnsi="Calibri"/>
          <w:color w:val="003366"/>
        </w:rPr>
        <w:t>5.4 Trendanalyse</w:t>
      </w:r>
    </w:p>
    <w:p>
      <w:r>
        <w:rPr>
          <w:rFonts w:ascii="Calibri" w:hAnsi="Calibri"/>
          <w:b w:val="0"/>
          <w:sz w:val="22"/>
        </w:rPr>
        <w:t>• Doorlooptijdontwikkeling per kwartaal</w:t>
      </w:r>
    </w:p>
    <w:p>
      <w:r>
        <w:rPr>
          <w:rFonts w:ascii="Calibri" w:hAnsi="Calibri"/>
          <w:b w:val="0"/>
          <w:sz w:val="22"/>
        </w:rPr>
        <w:t>• Wijzigingstype distributie over tijd</w:t>
      </w:r>
    </w:p>
    <w:p>
      <w:r>
        <w:rPr>
          <w:rFonts w:ascii="Calibri" w:hAnsi="Calibri"/>
          <w:b w:val="0"/>
          <w:sz w:val="22"/>
        </w:rPr>
        <w:t>• Risiconiveau verdeling (toename hoog/kritiek = signaal)</w:t>
      </w:r>
    </w:p>
    <w:p>
      <w:r>
        <w:rPr>
          <w:rFonts w:ascii="Calibri" w:hAnsi="Calibri"/>
          <w:b w:val="0"/>
          <w:sz w:val="22"/>
        </w:rPr>
        <w:t>• Afwijzingspercentage en -redenen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6. Archivering &amp; Bewaartermijnen</w:t>
      </w:r>
    </w:p>
    <w:p>
      <w:pPr>
        <w:pStyle w:val="Heading2"/>
      </w:pPr>
      <w:r>
        <w:rPr>
          <w:rFonts w:ascii="Calibri" w:hAnsi="Calibri"/>
          <w:color w:val="003366"/>
        </w:rPr>
        <w:t>6.1 Digitaal archief structuur</w:t>
      </w:r>
    </w:p>
    <w:p>
      <w:r>
        <w:rPr>
          <w:rFonts w:ascii="Calibri" w:hAnsi="Calibri"/>
          <w:b w:val="0"/>
          <w:sz w:val="22"/>
        </w:rPr>
        <w:t>/MoC-Archief/[Jaar]/PM-MoC-YYYY-NNN/ met daarin FM-501 tot FM-505, veiligheidsstudie en evaluatierapport.</w:t>
      </w:r>
    </w:p>
    <w:p>
      <w:r>
        <w:rPr>
          <w:rFonts w:ascii="Calibri" w:hAnsi="Calibri"/>
          <w:b w:val="0"/>
          <w:sz w:val="22"/>
        </w:rPr>
        <w:t>Register_archief/ bevat maandelijkse snapshots: MoC_Register_YYYY-MM.xlsx</w:t>
      </w:r>
    </w:p>
    <w:p>
      <w:pPr>
        <w:pStyle w:val="Heading2"/>
      </w:pPr>
      <w:r>
        <w:rPr>
          <w:rFonts w:ascii="Calibri" w:hAnsi="Calibri"/>
          <w:color w:val="003366"/>
        </w:rPr>
        <w:t>6.2 Bewaartermijnen</w:t>
      </w:r>
    </w:p>
    <w:p>
      <w:r>
        <w:rPr>
          <w:rFonts w:ascii="Calibri" w:hAnsi="Calibri"/>
          <w:b w:val="0"/>
          <w:sz w:val="22"/>
        </w:rPr>
        <w:t>Conform BRZO 1999 en Seveso III-richtlijn [1][3]:</w:t>
      </w:r>
    </w:p>
    <w:p>
      <w:r>
        <w:rPr>
          <w:rFonts w:ascii="Calibri" w:hAnsi="Calibri"/>
          <w:b w:val="0"/>
          <w:sz w:val="22"/>
        </w:rPr>
        <w:t>• MoC-dossiers: minimaal 10 jaar na afsluiting</w:t>
      </w:r>
    </w:p>
    <w:p>
      <w:r>
        <w:rPr>
          <w:rFonts w:ascii="Calibri" w:hAnsi="Calibri"/>
          <w:b w:val="0"/>
          <w:sz w:val="22"/>
        </w:rPr>
        <w:t>• MoC Register (XLSX): minimaal 10 jaar</w:t>
      </w:r>
    </w:p>
    <w:p>
      <w:r>
        <w:rPr>
          <w:rFonts w:ascii="Calibri" w:hAnsi="Calibri"/>
          <w:b w:val="0"/>
          <w:sz w:val="22"/>
        </w:rPr>
        <w:t>• KPI-rapportages: minimaal 10 jaar</w:t>
      </w:r>
    </w:p>
    <w:p>
      <w:r>
        <w:rPr>
          <w:rFonts w:ascii="Calibri" w:hAnsi="Calibri"/>
          <w:b w:val="0"/>
          <w:sz w:val="22"/>
        </w:rPr>
        <w:t>• Audit trail logs: minimaal 10 jaar</w:t>
      </w:r>
    </w:p>
    <w:p>
      <w:pPr>
        <w:pStyle w:val="Heading2"/>
      </w:pPr>
      <w:r>
        <w:rPr>
          <w:rFonts w:ascii="Calibri" w:hAnsi="Calibri"/>
          <w:color w:val="003366"/>
        </w:rPr>
        <w:t>6.3 Audit trail eisen</w:t>
      </w:r>
    </w:p>
    <w:p>
      <w:r>
        <w:rPr>
          <w:rFonts w:ascii="Calibri" w:hAnsi="Calibri"/>
          <w:b w:val="0"/>
          <w:sz w:val="22"/>
        </w:rPr>
        <w:t>• Elke statuswijziging wordt gelogd met datum, tijd, gebruiker en reden</w:t>
      </w:r>
    </w:p>
    <w:p>
      <w:r>
        <w:rPr>
          <w:rFonts w:ascii="Calibri" w:hAnsi="Calibri"/>
          <w:b w:val="0"/>
          <w:sz w:val="22"/>
        </w:rPr>
        <w:t>• Wijzigingen in het register zijn traceerbaar (versiebeheer)</w:t>
      </w:r>
    </w:p>
    <w:p>
      <w:r>
        <w:rPr>
          <w:rFonts w:ascii="Calibri" w:hAnsi="Calibri"/>
          <w:b w:val="0"/>
          <w:sz w:val="22"/>
        </w:rPr>
        <w:t>• Schrijfbevoegdheid beperkt tot geautoriseerde gebruikers</w:t>
      </w:r>
    </w:p>
    <w:p>
      <w:r>
        <w:rPr>
          <w:rFonts w:ascii="Calibri" w:hAnsi="Calibri"/>
          <w:b w:val="0"/>
          <w:sz w:val="22"/>
        </w:rPr>
        <w:t>• Maandelijks read-only snapshot van het register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7. Gebruiksaanwijzing XLSX Register</w:t>
      </w:r>
    </w:p>
    <w:p>
      <w:pPr>
        <w:pStyle w:val="Heading2"/>
      </w:pPr>
      <w:r>
        <w:rPr>
          <w:rFonts w:ascii="Calibri" w:hAnsi="Calibri"/>
          <w:color w:val="003366"/>
        </w:rPr>
        <w:t>7.1 Algemeen</w:t>
      </w:r>
    </w:p>
    <w:p>
      <w:r>
        <w:rPr>
          <w:rFonts w:ascii="Calibri" w:hAnsi="Calibri"/>
          <w:b w:val="0"/>
          <w:sz w:val="22"/>
        </w:rPr>
        <w:t>Het XLSX-bestand bevat drie werkbladen: MoC Register, KPI Dashboard en Statusoverzicht.</w:t>
      </w:r>
    </w:p>
    <w:p>
      <w:pPr>
        <w:pStyle w:val="Heading2"/>
      </w:pPr>
      <w:r>
        <w:rPr>
          <w:rFonts w:ascii="Calibri" w:hAnsi="Calibri"/>
          <w:color w:val="003366"/>
        </w:rPr>
        <w:t>7.2 Data-validatie regels</w:t>
      </w:r>
    </w:p>
    <w:p>
      <w:r>
        <w:rPr>
          <w:rFonts w:ascii="Calibri" w:hAnsi="Calibri"/>
          <w:b w:val="0"/>
          <w:sz w:val="22"/>
        </w:rPr>
        <w:t>Dropdown-validatie op: Kolom E (9 types), G (4 niveaus), H (Ja/Nee), I (6 types), J (7 statussen), P (Ja/Nee), Q (Ja/Nee).</w:t>
      </w:r>
    </w:p>
    <w:p>
      <w:pPr>
        <w:pStyle w:val="Heading2"/>
      </w:pPr>
      <w:r>
        <w:rPr>
          <w:rFonts w:ascii="Calibri" w:hAnsi="Calibri"/>
          <w:color w:val="003366"/>
        </w:rPr>
        <w:t>7.3 Auto-berekeningen</w:t>
      </w:r>
    </w:p>
    <w:p>
      <w:r>
        <w:rPr>
          <w:rFonts w:ascii="Calibri" w:hAnsi="Calibri"/>
          <w:b w:val="0"/>
          <w:sz w:val="22"/>
        </w:rPr>
        <w:t>Kolom N berekent automatisch doorlooptijd = ingebruiknamedatum − aanvraagdatum. Het KPI Dashboard bevat automatische formules.</w:t>
      </w:r>
    </w:p>
    <w:p>
      <w:pPr>
        <w:pStyle w:val="Heading2"/>
      </w:pPr>
      <w:r>
        <w:rPr>
          <w:rFonts w:ascii="Calibri" w:hAnsi="Calibri"/>
          <w:color w:val="003366"/>
        </w:rPr>
        <w:t>7.4 Filters en draaitabellen</w:t>
      </w:r>
    </w:p>
    <w:p>
      <w:r>
        <w:rPr>
          <w:rFonts w:ascii="Calibri" w:hAnsi="Calibri"/>
          <w:b w:val="0"/>
          <w:sz w:val="22"/>
        </w:rPr>
        <w:t>• AutoFilter op het Register voor snelle selectie per status/afdeling/risiconiveau</w:t>
      </w:r>
    </w:p>
    <w:p>
      <w:r>
        <w:rPr>
          <w:rFonts w:ascii="Calibri" w:hAnsi="Calibri"/>
          <w:b w:val="0"/>
          <w:sz w:val="22"/>
        </w:rPr>
        <w:t>• Draaitabel: Status × Risiconiveau × Type wijziging</w:t>
      </w:r>
    </w:p>
    <w:p>
      <w:r>
        <w:rPr>
          <w:rFonts w:ascii="Calibri" w:hAnsi="Calibri"/>
          <w:b w:val="0"/>
          <w:sz w:val="22"/>
        </w:rPr>
        <w:t>• Slicers voor interactieve filtering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Bronnenlijst</w:t>
      </w:r>
    </w:p>
    <w:p>
      <w:r>
        <w:rPr>
          <w:rFonts w:ascii="Calibri" w:hAnsi="Calibri"/>
          <w:b w:val="0"/>
          <w:sz w:val="22"/>
        </w:rPr>
        <w:t>[1] BRZO 1999 (Besluit risico’s zware ongevallen) — Artikel 5, Element IV: Management van Verandering</w:t>
      </w:r>
    </w:p>
    <w:p>
      <w:r>
        <w:rPr>
          <w:rFonts w:ascii="Calibri" w:hAnsi="Calibri"/>
          <w:b w:val="0"/>
          <w:sz w:val="22"/>
        </w:rPr>
        <w:t>[2] VBS (Veiligheidsbeheerssysteem) — Element 5: Procedure voor het management van verandering</w:t>
      </w:r>
    </w:p>
    <w:p>
      <w:r>
        <w:rPr>
          <w:rFonts w:ascii="Calibri" w:hAnsi="Calibri"/>
          <w:b w:val="0"/>
          <w:sz w:val="22"/>
        </w:rPr>
        <w:t>[3] Seveso III-richtlijn 2012/18/EU — Artikel 12: Veiligheidsbeheerssysteem</w:t>
      </w:r>
    </w:p>
    <w:p>
      <w:r>
        <w:rPr>
          <w:rFonts w:ascii="Calibri" w:hAnsi="Calibri"/>
          <w:b w:val="0"/>
          <w:sz w:val="22"/>
        </w:rPr>
        <w:t>[4] CCPS — Guidelines for Risk Based Process Safety, 2007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TierVerify Log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Opmerking</w:t>
            </w:r>
          </w:p>
        </w:tc>
      </w:tr>
      <w:tr>
        <w:tc>
          <w:tcPr>
            <w:tcW w:type="dxa" w:w="2268"/>
          </w:tcPr>
          <w:p>
            <w:r>
              <w:t>BRZO Element IV compliance</w:t>
            </w:r>
          </w:p>
        </w:tc>
        <w:tc>
          <w:tcPr>
            <w:tcW w:type="dxa" w:w="2268"/>
          </w:tcPr>
          <w:p>
            <w:r>
              <w:t>BRZO 1999 Art. 5</w:t>
            </w:r>
          </w:p>
        </w:tc>
        <w:tc>
          <w:tcPr>
            <w:tcW w:type="dxa" w:w="2268"/>
          </w:tcPr>
          <w:p>
            <w:r>
              <w:t>✅ Pass</w:t>
            </w:r>
          </w:p>
        </w:tc>
        <w:tc>
          <w:tcPr>
            <w:tcW w:type="dxa" w:w="2268"/>
          </w:tcPr>
          <w:p>
            <w:r>
              <w:t>Alle eisen gedekt</w:t>
            </w:r>
          </w:p>
        </w:tc>
      </w:tr>
      <w:tr>
        <w:tc>
          <w:tcPr>
            <w:tcW w:type="dxa" w:w="2268"/>
          </w:tcPr>
          <w:p>
            <w:r>
              <w:t>Seveso III 2012/18/EU</w:t>
            </w:r>
          </w:p>
        </w:tc>
        <w:tc>
          <w:tcPr>
            <w:tcW w:type="dxa" w:w="2268"/>
          </w:tcPr>
          <w:p>
            <w:r>
              <w:t>Richtlijn Art. 12</w:t>
            </w:r>
          </w:p>
        </w:tc>
        <w:tc>
          <w:tcPr>
            <w:tcW w:type="dxa" w:w="2268"/>
          </w:tcPr>
          <w:p>
            <w:r>
              <w:t>✅ Pass</w:t>
            </w:r>
          </w:p>
        </w:tc>
        <w:tc>
          <w:tcPr>
            <w:tcW w:type="dxa" w:w="2268"/>
          </w:tcPr>
          <w:p>
            <w:r>
              <w:t>Register, KPI’s conform</w:t>
            </w:r>
          </w:p>
        </w:tc>
      </w:tr>
      <w:tr>
        <w:tc>
          <w:tcPr>
            <w:tcW w:type="dxa" w:w="2268"/>
          </w:tcPr>
          <w:p>
            <w:r>
              <w:t>VBS Element 5 eisen</w:t>
            </w:r>
          </w:p>
        </w:tc>
        <w:tc>
          <w:tcPr>
            <w:tcW w:type="dxa" w:w="2268"/>
          </w:tcPr>
          <w:p>
            <w:r>
              <w:t>VBS kader</w:t>
            </w:r>
          </w:p>
        </w:tc>
        <w:tc>
          <w:tcPr>
            <w:tcW w:type="dxa" w:w="2268"/>
          </w:tcPr>
          <w:p>
            <w:r>
              <w:t>✅ Pass</w:t>
            </w:r>
          </w:p>
        </w:tc>
        <w:tc>
          <w:tcPr>
            <w:tcW w:type="dxa" w:w="2268"/>
          </w:tcPr>
          <w:p>
            <w:r>
              <w:t>Volledig register</w:t>
            </w:r>
          </w:p>
        </w:tc>
      </w:tr>
      <w:tr>
        <w:tc>
          <w:tcPr>
            <w:tcW w:type="dxa" w:w="2268"/>
          </w:tcPr>
          <w:p>
            <w:r>
              <w:t>Statusworkflow consistent</w:t>
            </w:r>
          </w:p>
        </w:tc>
        <w:tc>
          <w:tcPr>
            <w:tcW w:type="dxa" w:w="2268"/>
          </w:tcPr>
          <w:p>
            <w:r>
              <w:t>Doc 02 Procedure</w:t>
            </w:r>
          </w:p>
        </w:tc>
        <w:tc>
          <w:tcPr>
            <w:tcW w:type="dxa" w:w="2268"/>
          </w:tcPr>
          <w:p>
            <w:r>
              <w:t>✅ Pass</w:t>
            </w:r>
          </w:p>
        </w:tc>
        <w:tc>
          <w:tcPr>
            <w:tcW w:type="dxa" w:w="2268"/>
          </w:tcPr>
          <w:p>
            <w:r>
              <w:t>7 statussen overeenkomstig</w:t>
            </w:r>
          </w:p>
        </w:tc>
      </w:tr>
      <w:tr>
        <w:tc>
          <w:tcPr>
            <w:tcW w:type="dxa" w:w="2268"/>
          </w:tcPr>
          <w:p>
            <w:r>
              <w:t>Risiconiveau consistent</w:t>
            </w:r>
          </w:p>
        </w:tc>
        <w:tc>
          <w:tcPr>
            <w:tcW w:type="dxa" w:w="2268"/>
          </w:tcPr>
          <w:p>
            <w:r>
              <w:t>Doc 03 Classificatie</w:t>
            </w:r>
          </w:p>
        </w:tc>
        <w:tc>
          <w:tcPr>
            <w:tcW w:type="dxa" w:w="2268"/>
          </w:tcPr>
          <w:p>
            <w:r>
              <w:t>✅ Pass</w:t>
            </w:r>
          </w:p>
        </w:tc>
        <w:tc>
          <w:tcPr>
            <w:tcW w:type="dxa" w:w="2268"/>
          </w:tcPr>
          <w:p>
            <w:r>
              <w:t>4 niveaus correct</w:t>
            </w:r>
          </w:p>
        </w:tc>
      </w:tr>
      <w:tr>
        <w:tc>
          <w:tcPr>
            <w:tcW w:type="dxa" w:w="2268"/>
          </w:tcPr>
          <w:p>
            <w:r>
              <w:t>Formulierreferenties</w:t>
            </w:r>
          </w:p>
        </w:tc>
        <w:tc>
          <w:tcPr>
            <w:tcW w:type="dxa" w:w="2268"/>
          </w:tcPr>
          <w:p>
            <w:r>
              <w:t>Doc 04 Formulieren</w:t>
            </w:r>
          </w:p>
        </w:tc>
        <w:tc>
          <w:tcPr>
            <w:tcW w:type="dxa" w:w="2268"/>
          </w:tcPr>
          <w:p>
            <w:r>
              <w:t>✅ Pass</w:t>
            </w:r>
          </w:p>
        </w:tc>
        <w:tc>
          <w:tcPr>
            <w:tcW w:type="dxa" w:w="2268"/>
          </w:tcPr>
          <w:p>
            <w:r>
              <w:t>FM-501 t/m FM-505</w:t>
            </w:r>
          </w:p>
        </w:tc>
      </w:tr>
      <w:tr>
        <w:tc>
          <w:tcPr>
            <w:tcW w:type="dxa" w:w="2268"/>
          </w:tcPr>
          <w:p>
            <w:r>
              <w:t>Bewaartermijn BRZO</w:t>
            </w:r>
          </w:p>
        </w:tc>
        <w:tc>
          <w:tcPr>
            <w:tcW w:type="dxa" w:w="2268"/>
          </w:tcPr>
          <w:p>
            <w:r>
              <w:t>BRZO 1999</w:t>
            </w:r>
          </w:p>
        </w:tc>
        <w:tc>
          <w:tcPr>
            <w:tcW w:type="dxa" w:w="2268"/>
          </w:tcPr>
          <w:p>
            <w:r>
              <w:t>✅ Pass</w:t>
            </w:r>
          </w:p>
        </w:tc>
        <w:tc>
          <w:tcPr>
            <w:tcW w:type="dxa" w:w="2268"/>
          </w:tcPr>
          <w:p>
            <w:r>
              <w:t>Min. 10 jaar</w:t>
            </w:r>
          </w:p>
        </w:tc>
      </w:tr>
    </w:tbl>
    <w:p>
      <w:r>
        <w:rPr>
          <w:rFonts w:ascii="Calibri" w:hAnsi="Calibri"/>
          <w:b w:val="0"/>
          <w:sz w:val="22"/>
        </w:rPr>
      </w:r>
    </w:p>
    <w:p>
      <w:r>
        <w:rPr>
          <w:rFonts w:ascii="Calibri" w:hAnsi="Calibri"/>
          <w:b/>
          <w:sz w:val="22"/>
        </w:rPr>
        <w:t>TierVerify samenvatting: 7/7 checks PASS — Document consistent met Doc 01-04, voldoet aan BRZO Element IV.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999999"/>
        <w:sz w:val="16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  <w:p>
    <w:pPr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2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