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color w:val="003366"/>
          <w:sz w:val="32"/>
        </w:rPr>
        <w:t>JvG Consultancy</w:t>
      </w:r>
    </w:p>
    <w:p>
      <w:pPr>
        <w:jc w:val="center"/>
      </w:pPr>
      <w:r>
        <w:rPr>
          <w:color w:val="666666"/>
          <w:sz w:val="22"/>
        </w:rPr>
        <w:t>Safety • Governance • Advisory</w:t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Management of Change</w:t>
      </w:r>
    </w:p>
    <w:p>
      <w:pPr>
        <w:jc w:val="center"/>
      </w:pPr>
      <w:r>
        <w:rPr>
          <w:b/>
          <w:color w:val="003366"/>
          <w:sz w:val="40"/>
        </w:rPr>
        <w:t>MoC Formulierenpakket</w:t>
      </w:r>
    </w:p>
    <w:p/>
    <w:p>
      <w:pPr>
        <w:jc w:val="center"/>
      </w:pPr>
      <w:r>
        <w:rPr>
          <w:sz w:val="24"/>
        </w:rPr>
        <w:t>BRZO Element IV — VBS Element 5</w:t>
      </w:r>
    </w:p>
    <w:p>
      <w:pPr>
        <w:jc w:val="center"/>
      </w:pPr>
      <w:r>
        <w:rPr>
          <w:b/>
          <w:sz w:val="28"/>
        </w:rPr>
        <w:t>Phoenix Metals</w:t>
      </w:r>
    </w:p>
    <w:p/>
    <w:p/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Documentcode:</w:t>
            </w:r>
          </w:p>
        </w:tc>
        <w:tc>
          <w:tcPr>
            <w:tcW w:type="dxa" w:w="4536"/>
            <w:shd w:fill="FFFFFF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PM_VBS05_04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Versie:</w:t>
            </w:r>
          </w:p>
        </w:tc>
        <w:tc>
          <w:tcPr>
            <w:tcW w:type="dxa" w:w="4536"/>
            <w:shd w:fill="FFFFFF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1.0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Datum:</w:t>
            </w:r>
          </w:p>
        </w:tc>
        <w:tc>
          <w:tcPr>
            <w:tcW w:type="dxa" w:w="4536"/>
            <w:shd w:fill="FFFFFF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29-04-2026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Status:</w:t>
            </w:r>
          </w:p>
        </w:tc>
        <w:tc>
          <w:tcPr>
            <w:tcW w:type="dxa" w:w="4536"/>
            <w:shd w:fill="FFFFFF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Definitief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Classificatie:</w:t>
            </w:r>
          </w:p>
        </w:tc>
        <w:tc>
          <w:tcPr>
            <w:tcW w:type="dxa" w:w="4536"/>
            <w:shd w:fill="FFFFFF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Vertrouwelijk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Auteur:</w:t>
            </w:r>
          </w:p>
        </w:tc>
        <w:tc>
          <w:tcPr>
            <w:tcW w:type="dxa" w:w="4536"/>
            <w:shd w:fill="FFFFFF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JvG Consultancy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p>
      <w:r>
        <w:rPr>
          <w:rFonts w:ascii="Calibri" w:hAnsi="Calibri"/>
          <w:b/>
          <w:color w:val="1F2F37"/>
          <w:sz w:val="22"/>
        </w:rPr>
        <w:t>Versiebeheer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</w:tr>
      <w:tr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1.0</w:t>
            </w:r>
          </w:p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29-04-2026</w:t>
            </w:r>
          </w:p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JvG Consultancy</w:t>
            </w:r>
          </w:p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Eerste release</w:t>
            </w:r>
          </w:p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J. van Gemert</w:t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Distributielijst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Afdeling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Exemplaar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J. van Gemert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Directeur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Management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MoC-coördinator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MoC-coördinator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HSEQ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Installatiebeheerder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Installatiebeheerder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Techniek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pPr>
        <w:spacing w:after="80"/>
      </w:pPr>
      <w:r>
        <w:rPr>
          <w:rFonts w:ascii="Calibri" w:hAnsi="Calibri"/>
          <w:sz w:val="22"/>
        </w:rPr>
        <w:t>1. Inleiding</w:t>
      </w:r>
    </w:p>
    <w:p>
      <w:pPr>
        <w:spacing w:after="80"/>
      </w:pPr>
      <w:r>
        <w:rPr>
          <w:rFonts w:ascii="Calibri" w:hAnsi="Calibri"/>
          <w:sz w:val="22"/>
        </w:rPr>
        <w:t>2. Formulier FM-501: MoC Aanvraagformulier (Procedure Fase 1)</w:t>
      </w:r>
    </w:p>
    <w:p>
      <w:pPr>
        <w:spacing w:after="80"/>
      </w:pPr>
      <w:r>
        <w:rPr>
          <w:rFonts w:ascii="Calibri" w:hAnsi="Calibri"/>
          <w:sz w:val="22"/>
        </w:rPr>
        <w:t>3. Formulier FM-502: MoC Beoordelingsformulier (Procedure Fase 2-3)</w:t>
      </w:r>
    </w:p>
    <w:p>
      <w:pPr>
        <w:spacing w:after="80"/>
      </w:pPr>
      <w:r>
        <w:rPr>
          <w:rFonts w:ascii="Calibri" w:hAnsi="Calibri"/>
          <w:sz w:val="22"/>
        </w:rPr>
        <w:t>4. Formulier FM-503: Afloopschema Veiligheidsstudies (Procedure Fase 4)</w:t>
      </w:r>
    </w:p>
    <w:p>
      <w:pPr>
        <w:spacing w:after="80"/>
      </w:pPr>
      <w:r>
        <w:rPr>
          <w:rFonts w:ascii="Calibri" w:hAnsi="Calibri"/>
          <w:sz w:val="22"/>
        </w:rPr>
        <w:t>5. Formulier FM-504: Risicobeoordeling &amp; Actiepunten (Procedure Fase 5-6)</w:t>
      </w:r>
    </w:p>
    <w:p>
      <w:pPr>
        <w:spacing w:after="80"/>
      </w:pPr>
      <w:r>
        <w:rPr>
          <w:rFonts w:ascii="Calibri" w:hAnsi="Calibri"/>
          <w:sz w:val="22"/>
        </w:rPr>
        <w:t>6. Formulier FM-505: PSSR Checklist (Procedure Fase 8)</w:t>
      </w:r>
    </w:p>
    <w:p>
      <w:pPr>
        <w:spacing w:after="80"/>
      </w:pPr>
      <w:r>
        <w:rPr>
          <w:rFonts w:ascii="Calibri" w:hAnsi="Calibri"/>
          <w:sz w:val="22"/>
        </w:rPr>
        <w:t>7. Formulier FM-506: Evaluatie &amp; Afsluiting (Procedure Fase 9)</w:t>
      </w:r>
    </w:p>
    <w:p>
      <w:pPr>
        <w:spacing w:after="80"/>
      </w:pPr>
      <w:r>
        <w:rPr>
          <w:rFonts w:ascii="Calibri" w:hAnsi="Calibri"/>
          <w:sz w:val="22"/>
        </w:rPr>
        <w:t>8. Formulier FM-507: Spoed-MoC Formulier</w:t>
      </w:r>
    </w:p>
    <w:p>
      <w:pPr>
        <w:spacing w:after="80"/>
      </w:pPr>
      <w:r>
        <w:rPr>
          <w:rFonts w:ascii="Calibri" w:hAnsi="Calibri"/>
          <w:sz w:val="22"/>
        </w:rPr>
        <w:t>9. Bronnenlijst</w:t>
      </w:r>
    </w:p>
    <w:p>
      <w:pPr>
        <w:spacing w:after="80"/>
      </w:pPr>
      <w:r>
        <w:rPr>
          <w:rFonts w:ascii="Calibri" w:hAnsi="Calibri"/>
          <w:sz w:val="22"/>
        </w:rPr>
        <w:t>10. 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F37"/>
          <w:sz w:val="22"/>
        </w:rPr>
        <w:t>Dit document bevat het complete formulierenpakket voor het Management of Change (MoC)-proces van Phoenix Metals, conform BRZO Element IV en VBS Element 5 [1][2]. Alle formulieren zijn opgenomen in één document om vindbaarheid en consistentie te waarborgen.</w:t>
      </w:r>
    </w:p>
    <w:p>
      <w:r>
        <w:rPr>
          <w:rFonts w:ascii="Calibri" w:hAnsi="Calibri"/>
          <w:b/>
          <w:color w:val="1F2F37"/>
          <w:sz w:val="22"/>
        </w:rPr>
        <w:t>Doel</w:t>
      </w:r>
    </w:p>
    <w:p>
      <w:r>
        <w:rPr>
          <w:rFonts w:ascii="Calibri" w:hAnsi="Calibri"/>
          <w:b w:val="0"/>
          <w:color w:val="1F2F37"/>
          <w:sz w:val="22"/>
        </w:rPr>
        <w:t>Het formulierenpakket ondersteunt alle negen fasen van het MoC-proces zoals beschreven in PM_VBS05_02 (MoC Procedure) [3]. Elk formulier correspondeert met één of meer fasen en bevat de verplichte registratievelden conform de VBS-eisen.</w:t>
      </w:r>
    </w:p>
    <w:p>
      <w:r>
        <w:rPr>
          <w:rFonts w:ascii="Calibri" w:hAnsi="Calibri"/>
          <w:b/>
          <w:color w:val="1F2F37"/>
          <w:sz w:val="22"/>
        </w:rPr>
        <w:t>Verwijzingen</w:t>
      </w:r>
    </w:p>
    <w:p>
      <w:r>
        <w:rPr>
          <w:rFonts w:ascii="Calibri" w:hAnsi="Calibri"/>
          <w:b w:val="0"/>
          <w:color w:val="1F2F37"/>
          <w:sz w:val="22"/>
        </w:rPr>
        <w:t>• PM_VBS05_01 — MoC Beleid &amp; Kaderdocument [4]: Beleidsuitgangspunten en definities</w:t>
        <w:br/>
        <w:t>• PM_VBS05_02 — MoC Procedure [3]: Operationele procedure met 9 fasen</w:t>
        <w:br/>
        <w:t>• PM_VBS05_03 — Classificatie- &amp; Risicomatrix [5]: Beslisboom, risicomatrix en veiligheidsstudie-indeling</w:t>
        <w:br/>
        <w:t>• PM_VBS03_08 — PSSR Procedure (VBS Element 3): Pre-Startup Safety Review [6]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2. Formulier FM-501: MoC Aanvraagformulier</w:t>
      </w:r>
    </w:p>
    <w:p>
      <w:r>
        <w:rPr>
          <w:rFonts w:ascii="Calibri" w:hAnsi="Calibri"/>
          <w:b w:val="0"/>
          <w:color w:val="1F2F37"/>
          <w:sz w:val="22"/>
        </w:rPr>
        <w:t>Correspondeert met Procedure Fase 1: Initiatie &amp; Aanvraag (PM_VBS05_02, §3.1)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FM-501 — MoC AANVRAAGFORMULIER</w:t>
            </w:r>
          </w:p>
        </w:tc>
        <w:tc>
          <w:tcPr>
            <w:tcW w:type="dxa" w:w="4536"/>
            <w:shd w:fill="00336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Procedure Fase 1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Formuliernummer: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aanvraag: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Naam aanvrager: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Functie aanvrager: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Afdeling: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Telefoon / E-mail: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Type wijziging ( één categorie aanvinken 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Selectie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1. Procesinstallatie / Apparatuur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2. Operationele procedure / Werkwijze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3. Organisatiestructuur / Bezetting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4. Gevaarlijke stoffen (toevoeging/wijziging/verwijdering)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5. Veiligheidsmaatregelen / -systemen (incl. SIL)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6. Ontwerp- / Constructiespecificaties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7. Externe factoren (wetgeving, omgeving)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8. IT / Automatiseringssystemen (DCS, SIS)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9. Overig (specificeer hieronder)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Omschrijving wijziging: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Doel / reden van wijziging:</w:t>
            </w:r>
          </w:p>
        </w:tc>
        <w:tc>
          <w:tcPr>
            <w:tcW w:type="dxa" w:w="4536"/>
            <w:shd w:fill=""/>
            <w:shd w:fill="F8F9FA"/>
          </w:tcPr>
          <w:p>
            <w:r>
              <w:br/>
              <w:br/>
              <w:br/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Huidige situatie (indien van toepassing):</w:t>
            </w:r>
          </w:p>
        </w:tc>
        <w:tc>
          <w:tcPr>
            <w:tcW w:type="dxa" w:w="4536"/>
            <w:shd w:fill=""/>
            <w:shd w:fill="F8F9FA"/>
          </w:tcPr>
          <w:p>
            <w:r>
              <w:br/>
              <w:br/>
              <w:br/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Indicatieve risico-inschatting: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Laag   [ ] Gemiddeld   [ ] Hoog   [ ] Onbekend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Is het een tijdelijke wijziging?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  [ ] Nee     Indien ja — verwachte duur: ________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Is het een spoedeisende wijziging?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  [ ] Nee     Indien ja — criterium (zie §4 Procedure): 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Betrokken afdelingen / installaties: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Bijlagen (documentverwijzingen):</w:t>
            </w:r>
          </w:p>
        </w:tc>
        <w:tc>
          <w:tcPr>
            <w:tcW w:type="dxa" w:w="4536"/>
            <w:shd w:fill="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Handtekening aanvrager: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ondertekening:</w:t>
            </w:r>
          </w:p>
        </w:tc>
        <w:tc>
          <w:tcPr>
            <w:tcW w:type="dxa" w:w="4536"/>
            <w:shd w:fill=""/>
          </w:tcPr>
          <w:p/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Formulier FM-502: MoC Beoordelingsformulier</w:t>
      </w:r>
    </w:p>
    <w:p>
      <w:r>
        <w:rPr>
          <w:rFonts w:ascii="Calibri" w:hAnsi="Calibri"/>
          <w:b w:val="0"/>
          <w:color w:val="1F2F37"/>
          <w:sz w:val="22"/>
        </w:rPr>
        <w:t>Correspondeert met Procedure Fase 2-3: MoC-waardigheidtoets &amp; Team samenstelling (PM_VBS05_02, §3.2-3.3)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FM-502 — MoC BEOORDELINGSFORMULIER</w:t>
            </w:r>
          </w:p>
        </w:tc>
        <w:tc>
          <w:tcPr>
            <w:tcW w:type="dxa" w:w="4536"/>
            <w:shd w:fill="00336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Procedure Fase 2-3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MoC-nummer: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beoordeling: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Gekoppeld aan FM-501 nr: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MoC-waardigheidstoets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302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Ja</w:t>
            </w:r>
          </w:p>
        </w:tc>
        <w:tc>
          <w:tcPr>
            <w:tcW w:type="dxa" w:w="302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Nee</w:t>
            </w:r>
          </w:p>
        </w:tc>
      </w:tr>
      <w:tr>
        <w:tc>
          <w:tcPr>
            <w:tcW w:type="dxa" w:w="3024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Is de voorgenomen wijziging een vervanging-in-soortgelijk (RiF)?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Kan de wijziging invloed hebben op het risicoprofiel van de installatie?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Is de wijziging al volledig gedekt door een bestaand vergunningstraject?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Uitslag: MoC-waardig?   [ ] Ja (verdergaan)   [ ] Nee (stoppen / RiF)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Samenstelling MoC-team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Domein / Expertise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Classificatie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Type wijziging: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(volgens PM_VBS05_03, §3)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Risiconiveau: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Laag   [ ] Gemiddeld   [ ] Hoog   (volgens PM_VBS05_03, §4)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Veiligheidsstudie vereist?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→ type studie: ________   [ ] Nee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gepland MoC-overleg: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Beslissing MoC-coördinator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Beslissing: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Akkoord — MoC-traject gestart   [ ] Afgewezen — reden: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Naam MoC-coördinator: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Handtekening: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Formulier FM-503: Afloopschema Veiligheidsstudies</w:t>
      </w:r>
    </w:p>
    <w:p>
      <w:r>
        <w:rPr>
          <w:rFonts w:ascii="Calibri" w:hAnsi="Calibri"/>
          <w:b w:val="0"/>
          <w:color w:val="1F2F37"/>
          <w:sz w:val="22"/>
        </w:rPr>
        <w:t>Correspondeert met Procedure Fase 4: Veiligheidsstudie (PM_VBS05_02, §3.4). Zie ook PM_VBS05_03, §5 voor studie-indeling.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FM-503 — AFLOOPSCHEMA VEILIGHEIDSSTUDIES</w:t>
            </w:r>
          </w:p>
        </w:tc>
        <w:tc>
          <w:tcPr>
            <w:tcW w:type="dxa" w:w="4536"/>
            <w:shd w:fill="00336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Procedure Fase 4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MoC-nummer: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veiligheidsstudie: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Voorzitter studie: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Overzicht vereiste veiligheidsstudie per type wijziging</w:t>
      </w:r>
    </w:p>
    <w:p>
      <w:r>
        <w:rPr>
          <w:rFonts w:ascii="Calibri" w:hAnsi="Calibri"/>
          <w:b w:val="0"/>
          <w:color w:val="1F2F37"/>
          <w:sz w:val="18"/>
        </w:rPr>
        <w:t>(Richtlijn — zie PM_VBS05_03, §5 voor definitieve toewijzing)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 wijziging</w:t>
            </w:r>
          </w:p>
        </w:tc>
        <w:tc>
          <w:tcPr>
            <w:tcW w:type="dxa" w:w="302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 veiligheidsstudie</w:t>
            </w:r>
          </w:p>
        </w:tc>
        <w:tc>
          <w:tcPr>
            <w:tcW w:type="dxa" w:w="302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Selectie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Procesinstallatie / Apparatuur (hoog risico)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HAZOP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Procesinstallatie / Apparatuur (laag/gemiddeld)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What-If / FMEA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Operationele procedure / Werkwijze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What-If / Checklist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Gevaarlijke stoffen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HAZOP / What-If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Veiligheidssystemen / SIL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FMEA / LOPA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Organisatiestructuur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Checklist / What-If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IT / Automatisering (DCS/SIS)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FMEA / HAZOP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Overig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Te bepalen door MoC-team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Geen studie vereist</w:t>
            </w:r>
          </w:p>
        </w:tc>
        <w:tc>
          <w:tcPr>
            <w:tcW w:type="dxa" w:w="302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—</w:t>
            </w:r>
          </w:p>
        </w:tc>
        <w:tc>
          <w:tcPr>
            <w:tcW w:type="dxa" w:w="302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Resultaten veiligheidsstudie — Notities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Bevindingen / Aanbevelingen</w:t>
            </w:r>
          </w:p>
        </w:tc>
      </w:tr>
      <w:tr>
        <w:tc>
          <w:tcPr>
            <w:tcW w:type="dxa" w:w="4536"/>
            <w:shd w:fill="F8F9FA"/>
          </w:tcPr>
          <w:p/>
        </w:tc>
        <w:tc>
          <w:tcPr>
            <w:tcW w:type="dxa" w:w="4536"/>
            <w:shd w:fill="F8F9FA"/>
          </w:tcPr>
          <w:p/>
        </w:tc>
      </w:tr>
      <w:tr>
        <w:tc>
          <w:tcPr>
            <w:tcW w:type="dxa" w:w="4536"/>
            <w:shd w:fill="F8F9FA"/>
          </w:tcPr>
          <w:p/>
        </w:tc>
        <w:tc>
          <w:tcPr>
            <w:tcW w:type="dxa" w:w="4536"/>
            <w:shd w:fill="F8F9FA"/>
          </w:tcPr>
          <w:p/>
        </w:tc>
      </w:tr>
      <w:tr>
        <w:tc>
          <w:tcPr>
            <w:tcW w:type="dxa" w:w="4536"/>
            <w:shd w:fill="F8F9FA"/>
          </w:tcPr>
          <w:p/>
        </w:tc>
        <w:tc>
          <w:tcPr>
            <w:tcW w:type="dxa" w:w="4536"/>
            <w:shd w:fill="F8F9FA"/>
          </w:tcPr>
          <w:p/>
        </w:tc>
      </w:tr>
      <w:tr>
        <w:tc>
          <w:tcPr>
            <w:tcW w:type="dxa" w:w="4536"/>
            <w:shd w:fill="F8F9FA"/>
          </w:tcPr>
          <w:p/>
        </w:tc>
        <w:tc>
          <w:tcPr>
            <w:tcW w:type="dxa" w:w="4536"/>
            <w:shd w:fill="F8F9FA"/>
          </w:tcPr>
          <w:p/>
        </w:tc>
      </w:tr>
      <w:tr>
        <w:tc>
          <w:tcPr>
            <w:tcW w:type="dxa" w:w="4536"/>
            <w:shd w:fill="F8F9FA"/>
          </w:tcPr>
          <w:p/>
        </w:tc>
        <w:tc>
          <w:tcPr>
            <w:tcW w:type="dxa" w:w="4536"/>
            <w:shd w:fill="F8F9FA"/>
          </w:tcPr>
          <w:p/>
        </w:tc>
      </w:tr>
      <w:tr>
        <w:tc>
          <w:tcPr>
            <w:tcW w:type="dxa" w:w="4536"/>
            <w:shd w:fill="F8F9FA"/>
          </w:tcPr>
          <w:p/>
        </w:tc>
        <w:tc>
          <w:tcPr>
            <w:tcW w:type="dxa" w:w="4536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Akkoord MoC-team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Formulier FM-504: Risicobeoordeling &amp; Actiepunten</w:t>
      </w:r>
    </w:p>
    <w:p>
      <w:r>
        <w:rPr>
          <w:rFonts w:ascii="Calibri" w:hAnsi="Calibri"/>
          <w:b w:val="0"/>
          <w:color w:val="1F2F37"/>
          <w:sz w:val="22"/>
        </w:rPr>
        <w:t>Correspondeert met Procedure Fase 5-6: Risicobeoordeling &amp; Maatregelen (PM_VBS05_02, §3.5-3.6). Risicomatrix conform PM_VBS05_03, §4.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FM-504 — RISICOBEOORDELING &amp; ACTIEPUNTEN</w:t>
            </w:r>
          </w:p>
        </w:tc>
        <w:tc>
          <w:tcPr>
            <w:tcW w:type="dxa" w:w="4536"/>
            <w:shd w:fill="00336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Procedure Fase 5-6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MoC-nummer: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risicobeoordeling: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5.1 Gevaaridentificatie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Oorzaak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Effect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Huidige maatregelen</w:t>
            </w:r>
          </w:p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5.2 Risicoscore VOOR maatregelen (Likelihood × Impact — zie PM_VBS05_03, §4)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Likelihood (1-5)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Impact (1-5)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Risicoscore</w:t>
            </w:r>
          </w:p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5.3 Nieuwe / Additionele maatregelen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Nr.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Maatregel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81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1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2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3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4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5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6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5.4 Risicoscore NA maatregelen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Likelihood (1-5)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Impact (1-5)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Risicoscore</w:t>
            </w:r>
          </w:p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5.5 Go/No-Go Beslissing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Beslissing: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GO — Wijziging kan worden geïmplementeerd</w:t>
              <w:br/>
              <w:t>[ ] NO-GO — Aanvullende maatregelen vereist</w:t>
              <w:br/>
              <w:t>[ ] NO-GO — Wijziging afgewezen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Toelichting: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Handtekeningen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MoC-teamlid 1</w:t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MoC-teamlid 2</w:t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Aanvrager</w:t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Formulier FM-505: PSSR Checklist</w:t>
      </w:r>
    </w:p>
    <w:p>
      <w:r>
        <w:rPr>
          <w:rFonts w:ascii="Calibri" w:hAnsi="Calibri"/>
          <w:b w:val="0"/>
          <w:color w:val="1F2F37"/>
          <w:sz w:val="22"/>
        </w:rPr>
        <w:t>Correspondeert met Procedure Fase 8: PSSR (PM_VBS05_02, §3.8). Zie ook PM_VBS03_08 (VBS Element 3 PSSR Procedure).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FM-505 — PSSR CHECKLIST</w:t>
            </w:r>
          </w:p>
        </w:tc>
        <w:tc>
          <w:tcPr>
            <w:tcW w:type="dxa" w:w="4536"/>
            <w:shd w:fill="00336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Procedure Fase 8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MoC-nummer: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PSSR: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Installatie / Systeem: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PSSR-voorzitter: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PSSR Checklist — Invulinstructie: [J]a / [N]ee / [N.v.t.] + opmerkingen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Checkpoint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J / N / N.v.t.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Opmerkingen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1. Zijn alle installatie-modificaties voltooid conform goedkeuringsbesluit?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2. Zijn alle veiligheidsmaatregelen geïmplementeerd (inclusief SIL-maatregelen)?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3. Is de werkplek schoon, veilig en vrij van bouw- en installatiemateriaal?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4. Zijn alle operationele procedures geüpdatet en formeel goedgekeurd?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5. Is vereiste training voor medewerkers uitgevoerd en gedocumenteerd?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6. Functioneren alle noodvoorzieningen correct (blussystemen, gasdetectie, noodstop)?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7. Is de RI&amp;E geactualiseerd met de uitkomsten van deze wijziging?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8. Zijn alle veiligheidsinformatiebladen (VIB/SDS) actueel en beschikbaar?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9. Zijn meet- en regelinstrumenten gekalibreerd en functioneel?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10. Zijn vergunningen en ontheffingen aangepast (indien van toepassing)?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11. Is de lockout/tagout (LOTO) procedure correct afgerond?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12. Is de ingebruiknametest (commissioning) succesvol uitgevoerd?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13. Zijn afwijkingen en niet-conformiteiten gedocumenteerd en afgehandeld?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14. Is communicatie naar betrokken afdelingen en operators voltooid?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15. Is het zorgplan (maintenance plan) aangepast aan de gewijzigde situatie?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16. Zijn MILIEU-aspecten geëvalueerd en voldoen emissies aan vergunningsvoorwaarden?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17. Is deInspectie door derden (Keuring/SZO) uitgevoerd indien vereist?</w:t>
            </w:r>
          </w:p>
        </w:tc>
        <w:tc>
          <w:tcPr>
            <w:tcW w:type="dxa" w:w="2268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</w:r>
          </w:p>
        </w:tc>
        <w:tc>
          <w:tcPr>
            <w:tcW w:type="dxa" w:w="2268"/>
            <w:shd w:fill="F8F9FA"/>
          </w:tcPr>
          <w:p/>
        </w:tc>
        <w:tc>
          <w:tcPr>
            <w:tcW w:type="dxa" w:w="2268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Akkoord ingebruikname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Akkoord (J/N)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Installatiebeheerder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MoC-coördinator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HSEQ Manager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Productieleider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Formulier FM-506: Evaluatie &amp; Afsluiting</w:t>
      </w:r>
    </w:p>
    <w:p>
      <w:r>
        <w:rPr>
          <w:rFonts w:ascii="Calibri" w:hAnsi="Calibri"/>
          <w:b w:val="0"/>
          <w:color w:val="1F2F37"/>
          <w:sz w:val="22"/>
        </w:rPr>
        <w:t>Correspondeert met Procedure Fase 9: Evaluatie &amp; Afsluiting (PM_VBS05_02, §3.9)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FM-506 — EVALUATIE &amp; AFSLUITING</w:t>
            </w:r>
          </w:p>
        </w:tc>
        <w:tc>
          <w:tcPr>
            <w:tcW w:type="dxa" w:w="4536"/>
            <w:shd w:fill="00336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Procedure Fase 9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MoC-nummer: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evaluatie: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7.1 Evaluatie effectiviteit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Heeft de wijziging het gewenste effect bereikt?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  [ ] Nee — toelichting: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Zijn onvoorziene effecten opgetreden?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— toelichting:   [ ] Nee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Zijn alle actiepunten uit FM-504 afgesloten?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  [ ] Nee — openstaande punten: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Openstaande actiepunten (indien van toepassing):</w:t>
            </w:r>
          </w:p>
        </w:tc>
        <w:tc>
          <w:tcPr>
            <w:tcW w:type="dxa" w:w="4536"/>
            <w:shd w:fill=""/>
            <w:shd w:fill="F8F9FA"/>
          </w:tcPr>
          <w:p>
            <w:r>
              <w:br/>
              <w:br/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7.2 Documentatie &amp; Actualisatie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Vraag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Is RI&amp;E actualisatie vereist?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— uitgevoerd op:   [ ] Nee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Is update van procedures / WIs vereist?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— welke:   [ ] Nee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Zijn aanvullende trainingen vereist?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— welke:   [ ] Nee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Is documentatie compleet en gearchiveerd?</w:t>
            </w:r>
          </w:p>
        </w:tc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 Ja   [ ] Nee — ontbrekend:</w:t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7.3 Formele afsluiting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 / Rol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Akkoord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  <w:tc>
          <w:tcPr>
            <w:tcW w:type="dxa" w:w="1814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MoC-coördinator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MoC-teamlid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  <w:tr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Aanvrager</w:t>
            </w:r>
          </w:p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  <w:tc>
          <w:tcPr>
            <w:tcW w:type="dxa" w:w="1814"/>
            <w:shd w:fill="F8F9FA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7.4 Archivering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Archieflocatie: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Archiveringsdatum: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Gearchiveerd door: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Bewaartermijn:</w:t>
            </w:r>
          </w:p>
        </w:tc>
        <w:tc>
          <w:tcPr>
            <w:tcW w:type="dxa" w:w="4536"/>
            <w:shd w:fill="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10 jaar (conform BRZO 1999, art. 5 lid 3)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Formulier FM-507: Spoed-MoC Formulier</w:t>
      </w:r>
    </w:p>
    <w:p>
      <w:r>
        <w:rPr>
          <w:rFonts w:ascii="Calibri" w:hAnsi="Calibri"/>
          <w:b w:val="0"/>
          <w:color w:val="1F2F37"/>
          <w:sz w:val="22"/>
        </w:rPr>
        <w:t>Verkorte versie voor spoedprocedure (PM_VBS05_02, §4). Dit formulier dient te worden ingevuld wanneer een wijziging direct moet worden doorgevoerd om een acuut risico af te wenden. Achterafformalisering via volledig MoC-traject verplicht binnen 5 werkdagen.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FM-507 — SPOED-MoC FORMULIER</w:t>
            </w:r>
          </w:p>
        </w:tc>
        <w:tc>
          <w:tcPr>
            <w:tcW w:type="dxa" w:w="4536"/>
            <w:shd w:fill="CC0000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SPOEDPROCEDURE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Formuliernummer (SPOED-):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/ Tijd: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Naam aanvrager: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Functie / Afdeling: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Criteria spoedeisendheid (minimaal één aanvinken)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Van toepassing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Acuut gevaar voor personen (letsel / intoxicatie / brand / explosie)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Acuut gevaar voor milieu (onngecontroleerde emissie / lozing)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Installatiefaling met directe impact op procesveiligheid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  <w:tr>
        <w:tc>
          <w:tcPr>
            <w:tcW w:type="dxa" w:w="4536"/>
            <w:shd w:fill="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Wettelijke verplichting die onmiddellijke actie vereist</w:t>
            </w:r>
          </w:p>
        </w:tc>
        <w:tc>
          <w:tcPr>
            <w:tcW w:type="dxa" w:w="4536"/>
            <w:shd w:fill="F8F9FA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F2F37"/>
                <w:sz w:val="20"/>
              </w:rPr>
              <w:t>[ ]</w:t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Omschrijving wijziging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Korte omschrijving wijziging: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Genomen voorlopige maatregelen: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Betrokken installatie / locatie:</w:t>
            </w:r>
          </w:p>
        </w:tc>
        <w:tc>
          <w:tcPr>
            <w:tcW w:type="dxa" w:w="4536"/>
            <w:shd w:fill=""/>
            <w:shd w:fill="F8F9FA"/>
          </w:tcPr>
          <w:p>
            <w:r>
              <w:br/>
              <w:br/>
            </w:r>
          </w:p>
        </w:tc>
      </w:tr>
    </w:tbl>
    <w:p/>
    <w:p>
      <w:r>
        <w:rPr>
          <w:rFonts w:ascii="Calibri" w:hAnsi="Calibri"/>
          <w:b/>
          <w:color w:val="1F2F37"/>
          <w:sz w:val="22"/>
        </w:rPr>
        <w:t>Directe goedkeuring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Goedgekeurd door (naam + functie):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Handtekening: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Datum / Tijd goedkeuring:</w:t>
            </w:r>
          </w:p>
        </w:tc>
        <w:tc>
          <w:tcPr>
            <w:tcW w:type="dxa" w:w="4536"/>
            <w:shd w:fill=""/>
          </w:tcPr>
          <w:p/>
        </w:tc>
      </w:tr>
    </w:tbl>
    <w:p/>
    <w:p>
      <w:r>
        <w:rPr>
          <w:rFonts w:ascii="Calibri" w:hAnsi="Calibri"/>
          <w:b/>
          <w:color w:val="1F2F37"/>
          <w:sz w:val="22"/>
        </w:rPr>
        <w:t>Achterafformalisering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Uiterste datum formalisering (5 werkdagen):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Volledig MoC-nummer (achteraf toegekend):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FM-501 ingevuld en ingediend?</w:t>
            </w:r>
          </w:p>
        </w:tc>
        <w:tc>
          <w:tcPr>
            <w:tcW w:type="dxa" w:w="4536"/>
            <w:shd w:fill=""/>
          </w:tcPr>
          <w:p/>
        </w:tc>
      </w:tr>
      <w:tr>
        <w:tc>
          <w:tcPr>
            <w:tcW w:type="dxa" w:w="4536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1F2F37"/>
                <w:sz w:val="20"/>
              </w:rPr>
              <w:t>FM-504 (risicobeoordeling) achteraf uitgevoerd?</w:t>
            </w:r>
          </w:p>
        </w:tc>
        <w:tc>
          <w:tcPr>
            <w:tcW w:type="dxa" w:w="4536"/>
            <w:shd w:fill=""/>
          </w:tcPr>
          <w:p/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9. Bronnenlijst</w:t>
      </w:r>
    </w:p>
    <w:p>
      <w:pPr>
        <w:spacing w:after="80"/>
      </w:pPr>
      <w:r>
        <w:rPr>
          <w:rFonts w:ascii="Calibri" w:hAnsi="Calibri"/>
          <w:sz w:val="20"/>
        </w:rPr>
        <w:t>[1] Seveso III-richtlijn 2012/18/EU — Risicobeheersing bij zware ongevallen met gevaarlijke stoffen</w:t>
      </w:r>
    </w:p>
    <w:p>
      <w:pPr>
        <w:spacing w:after="80"/>
      </w:pPr>
      <w:r>
        <w:rPr>
          <w:rFonts w:ascii="Calibri" w:hAnsi="Calibri"/>
          <w:sz w:val="20"/>
        </w:rPr>
        <w:t>[2] BRZO 1999 (Besluit risico's zware ongevallen) —luitvoering Seveso III in Nederland</w:t>
      </w:r>
    </w:p>
    <w:p>
      <w:pPr>
        <w:spacing w:after="80"/>
      </w:pPr>
      <w:r>
        <w:rPr>
          <w:rFonts w:ascii="Calibri" w:hAnsi="Calibri"/>
          <w:sz w:val="20"/>
        </w:rPr>
        <w:t>[3] PM_VBS05_02 — MoC Procedure, versie 1.0, JvG Consultancy, 29-04-2026</w:t>
      </w:r>
    </w:p>
    <w:p>
      <w:pPr>
        <w:spacing w:after="80"/>
      </w:pPr>
      <w:r>
        <w:rPr>
          <w:rFonts w:ascii="Calibri" w:hAnsi="Calibri"/>
          <w:sz w:val="20"/>
        </w:rPr>
        <w:t>[4] PM_VBS05_01 — MoC Beleid &amp; Kaderdocument, versie 1.0, JvG Consultancy, 29-04-2026</w:t>
      </w:r>
    </w:p>
    <w:p>
      <w:pPr>
        <w:spacing w:after="80"/>
      </w:pPr>
      <w:r>
        <w:rPr>
          <w:rFonts w:ascii="Calibri" w:hAnsi="Calibri"/>
          <w:sz w:val="20"/>
        </w:rPr>
        <w:t>[5] PM_VBS05_03 — Classificatie- &amp; Risicomatrix, versie 1.0, JvG Consultancy, 29-04-2026</w:t>
      </w:r>
    </w:p>
    <w:p>
      <w:pPr>
        <w:spacing w:after="80"/>
      </w:pPr>
      <w:r>
        <w:rPr>
          <w:rFonts w:ascii="Calibri" w:hAnsi="Calibri"/>
          <w:sz w:val="20"/>
        </w:rPr>
        <w:t>[6] PM_VBS03_08 — PSSR Procedure (VBS Element 3), JvG Consultancy</w:t>
      </w:r>
    </w:p>
    <w:p>
      <w:pPr>
        <w:spacing w:after="80"/>
      </w:pPr>
      <w:r>
        <w:rPr>
          <w:rFonts w:ascii="Calibri" w:hAnsi="Calibri"/>
          <w:sz w:val="20"/>
        </w:rPr>
        <w:t>[7] NEN-EN-IEC 62443 — Industrial communication networks – Network and system security</w:t>
      </w:r>
    </w:p>
    <w:p>
      <w:pPr>
        <w:spacing w:after="80"/>
      </w:pPr>
      <w:r>
        <w:rPr>
          <w:rFonts w:ascii="Calibri" w:hAnsi="Calibri"/>
          <w:sz w:val="20"/>
        </w:rPr>
        <w:t>[8] ISO 45001:2018 — Occupational health and safety management systems</w:t>
      </w:r>
    </w:p>
    <w:p>
      <w:pPr>
        <w:spacing w:after="80"/>
      </w:pPr>
      <w:r>
        <w:rPr>
          <w:rFonts w:ascii="Calibri" w:hAnsi="Calibri"/>
          <w:sz w:val="20"/>
        </w:rPr>
        <w:t>[9] NPR 7910-1:2020 — Risico-inventarisatie en -evaluatie voor Seveso-inrichtingen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10. TierVerify Log</w:t>
      </w:r>
    </w:p>
    <w:p>
      <w:r>
        <w:rPr>
          <w:rFonts w:ascii="Calibri" w:hAnsi="Calibri"/>
          <w:b/>
          <w:color w:val="1F2F37"/>
          <w:sz w:val="22"/>
        </w:rPr>
        <w:t>Documentverificatie — kwaliteit- en consistentiecontroles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Wettelijk kader (Seveso III / BRZO)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PM_VBS05_01 §2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Alle formulieren conform BRZO Element IV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Procedure-fase koppeling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PM_VBS05_02 §3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FM-501 t/m FM-507 gekoppeld aan fasen 1-9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Risicomatrix referenties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PM_VBS05_03 §4-5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Likelihood×Impact scoring toegepast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PSSR referentie Element 3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PM_VBS03_08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Cross-reference met VBS Element 3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Bronverwijzingen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PM_VBS05_01-03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[1]-[9] notatie conform STYLEGUIDE §1.8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Documentheader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STYLEGUIDE §2.1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Project, Type, Auteur, Versie, Datum, Status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JvG branding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STYLEGUIDE §8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Logo 2.0×1.8 cm, footer, kleurpalet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Invulvelden lay-out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Specificatie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Grijze achtergrond (#F8F9FA), checkboxen als [ ]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Spoedprocedure termijn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PM_VBS05_02 §4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5 werkdagen achterafformalisering</w:t>
            </w:r>
          </w:p>
        </w:tc>
      </w:tr>
      <w:tr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Bewaartermijn archivering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BRZO 1999 art. 5 lid 3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✓ Geverifieerd</w:t>
            </w:r>
          </w:p>
        </w:tc>
        <w:tc>
          <w:tcPr>
            <w:tcW w:type="dxa" w:w="2268"/>
            <w:shd w:fill="F8F9FA"/>
          </w:tcPr>
          <w:p>
            <w:pPr>
              <w:jc w:val="left"/>
            </w:pPr>
            <w:r/>
            <w:r>
              <w:rPr>
                <w:rFonts w:ascii="Calibri" w:hAnsi="Calibri"/>
                <w:b w:val="0"/>
                <w:color w:val="1F2F37"/>
                <w:sz w:val="18"/>
              </w:rPr>
              <w:t>10 jaar bewaartermijn</w:t>
            </w:r>
          </w:p>
        </w:tc>
      </w:tr>
    </w:tbl>
    <w:p/>
    <w:p>
      <w:r>
        <w:rPr>
          <w:i/>
          <w:color w:val="999999"/>
          <w:sz w:val="18"/>
        </w:rPr>
        <w:t>TierVerify voltooid — 29-04-2026 — JvG Consultancy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99999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F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