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Calibri" w:hAnsi="Calibri"/>
          <w:b/>
          <w:color w:val="003366"/>
          <w:sz w:val="32"/>
        </w:rPr>
        <w:t>JvG Consultancy</w:t>
      </w:r>
    </w:p>
    <w:p>
      <w:pPr>
        <w:spacing w:after="400"/>
        <w:jc w:val="center"/>
      </w:pPr>
      <w:r>
        <w:rPr>
          <w:rFonts w:ascii="Calibri" w:hAnsi="Calibri"/>
          <w:b w:val="0"/>
          <w:color w:val="003366"/>
          <w:sz w:val="22"/>
        </w:rPr>
        <w:t>Safety • Governance • Advisory</w:t>
      </w:r>
    </w:p>
    <w:p>
      <w:pPr>
        <w:spacing w:after="80"/>
        <w:jc w:val="center"/>
      </w:pPr>
      <w:r>
        <w:rPr>
          <w:rFonts w:ascii="Calibri" w:hAnsi="Calibri"/>
          <w:b/>
          <w:color w:val="003366"/>
          <w:sz w:val="44"/>
        </w:rPr>
        <w:t>Management of Change</w:t>
      </w:r>
    </w:p>
    <w:p>
      <w:pPr>
        <w:spacing w:after="80"/>
        <w:jc w:val="center"/>
      </w:pPr>
      <w:r>
        <w:rPr>
          <w:rFonts w:ascii="Calibri" w:hAnsi="Calibri"/>
          <w:b/>
          <w:color w:val="003366"/>
          <w:sz w:val="36"/>
        </w:rPr>
        <w:t>Classificatie- &amp; Risicomatrix</w:t>
      </w:r>
    </w:p>
    <w:p>
      <w:pPr>
        <w:spacing w:after="40"/>
        <w:jc w:val="center"/>
      </w:pPr>
      <w:r>
        <w:rPr>
          <w:rFonts w:ascii="Calibri" w:hAnsi="Calibri"/>
          <w:b w:val="0"/>
          <w:sz w:val="24"/>
        </w:rPr>
        <w:t>BRZO Element IV — VBS Element 5</w:t>
      </w:r>
    </w:p>
    <w:p>
      <w:pPr>
        <w:spacing w:after="400"/>
        <w:jc w:val="center"/>
      </w:pPr>
      <w:r>
        <w:rPr>
          <w:rFonts w:ascii="Calibri" w:hAnsi="Calibri"/>
          <w:b/>
          <w:color w:val="003366"/>
          <w:sz w:val="28"/>
        </w:rPr>
        <w:t>Phoenix Metals</w:t>
      </w:r>
    </w:p>
    <w:p>
      <w:pPr>
        <w:spacing w:after="40"/>
        <w:jc w:val="center"/>
      </w:pPr>
      <w:r>
        <w:rPr>
          <w:rFonts w:ascii="Calibri" w:hAnsi="Calibri"/>
          <w:b w:val="0"/>
          <w:sz w:val="20"/>
        </w:rPr>
        <w:t>Documentcode: PM_VBS05_03</w:t>
      </w:r>
    </w:p>
    <w:p>
      <w:pPr>
        <w:spacing w:after="40"/>
        <w:jc w:val="center"/>
      </w:pPr>
      <w:r>
        <w:rPr>
          <w:rFonts w:ascii="Calibri" w:hAnsi="Calibri"/>
          <w:b w:val="0"/>
          <w:sz w:val="20"/>
        </w:rPr>
        <w:t>Versie: 1.0</w:t>
      </w:r>
    </w:p>
    <w:p>
      <w:pPr>
        <w:spacing w:after="40"/>
        <w:jc w:val="center"/>
      </w:pPr>
      <w:r>
        <w:rPr>
          <w:rFonts w:ascii="Calibri" w:hAnsi="Calibri"/>
          <w:b w:val="0"/>
          <w:sz w:val="20"/>
        </w:rPr>
        <w:t>Datum: 29-04-2026</w:t>
      </w:r>
    </w:p>
    <w:p>
      <w:pPr>
        <w:spacing w:after="40"/>
        <w:jc w:val="center"/>
      </w:pPr>
      <w:r>
        <w:rPr>
          <w:rFonts w:ascii="Calibri" w:hAnsi="Calibri"/>
          <w:b w:val="0"/>
          <w:sz w:val="20"/>
        </w:rPr>
        <w:t>Status: Definitief</w:t>
      </w:r>
    </w:p>
    <w:p>
      <w:pPr>
        <w:spacing w:after="40"/>
        <w:jc w:val="center"/>
      </w:pPr>
      <w:r>
        <w:rPr>
          <w:rFonts w:ascii="Calibri" w:hAnsi="Calibri"/>
          <w:b w:val="0"/>
          <w:sz w:val="20"/>
        </w:rPr>
        <w:t>Classificatie: Vertrouwelijk</w:t>
      </w:r>
    </w:p>
    <w:p>
      <w:pPr>
        <w:spacing w:after="40"/>
        <w:jc w:val="center"/>
      </w:pPr>
      <w:r>
        <w:rPr>
          <w:rFonts w:ascii="Calibri" w:hAnsi="Calibri"/>
          <w:b w:val="0"/>
          <w:sz w:val="20"/>
        </w:rPr>
        <w:t>Auteur: JvG Consultancy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Documentbeheersing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172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172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172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Wijziging</w:t>
            </w:r>
          </w:p>
        </w:tc>
        <w:tc>
          <w:tcPr>
            <w:tcW w:type="dxa" w:w="172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Goedgekeurd</w:t>
            </w:r>
          </w:p>
        </w:tc>
      </w:tr>
      <w:tr>
        <w:tc>
          <w:tcPr>
            <w:tcW w:type="dxa" w:w="1728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1.0</w:t>
            </w:r>
          </w:p>
        </w:tc>
        <w:tc>
          <w:tcPr>
            <w:tcW w:type="dxa" w:w="1728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29-04-2026</w:t>
            </w:r>
          </w:p>
        </w:tc>
        <w:tc>
          <w:tcPr>
            <w:tcW w:type="dxa" w:w="1728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JvG Consultancy</w:t>
            </w:r>
          </w:p>
        </w:tc>
        <w:tc>
          <w:tcPr>
            <w:tcW w:type="dxa" w:w="1728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Initiële release</w:t>
            </w:r>
          </w:p>
        </w:tc>
        <w:tc>
          <w:tcPr>
            <w:tcW w:type="dxa" w:w="1728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—</w:t>
            </w:r>
          </w:p>
        </w:tc>
      </w:tr>
    </w:tbl>
    <w:p>
      <w:pPr>
        <w:spacing w:after="120"/>
      </w:pPr>
      <w:r>
        <w:rPr>
          <w:rFonts w:ascii="Calibri" w:hAnsi="Calibri"/>
          <w:b w:val="0"/>
          <w:sz w:val="12"/>
        </w:rPr>
      </w:r>
    </w:p>
    <w:p>
      <w:pPr>
        <w:spacing w:after="120"/>
      </w:pPr>
      <w:r>
        <w:rPr>
          <w:rFonts w:ascii="Calibri" w:hAnsi="Calibri"/>
          <w:b/>
          <w:color w:val="003366"/>
          <w:sz w:val="22"/>
        </w:rPr>
        <w:t>Distributielijst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Functie</w:t>
            </w:r>
          </w:p>
        </w:tc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Naam</w:t>
            </w:r>
          </w:p>
        </w:tc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Ontvangst</w:t>
            </w:r>
          </w:p>
        </w:tc>
      </w:tr>
      <w:tr>
        <w:tc>
          <w:tcPr>
            <w:tcW w:type="dxa" w:w="288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Directie</w:t>
            </w:r>
          </w:p>
        </w:tc>
        <w:tc>
          <w:tcPr>
            <w:tcW w:type="dxa" w:w="288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Phoenix Metals Directie</w:t>
            </w:r>
          </w:p>
        </w:tc>
        <w:tc>
          <w:tcPr>
            <w:tcW w:type="dxa" w:w="288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Digitaal</w:t>
            </w:r>
          </w:p>
        </w:tc>
      </w:tr>
      <w:tr>
        <w:tc>
          <w:tcPr>
            <w:tcW w:type="dxa" w:w="2880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MoC-coördinator</w:t>
            </w:r>
          </w:p>
        </w:tc>
        <w:tc>
          <w:tcPr>
            <w:tcW w:type="dxa" w:w="2880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TBD</w:t>
            </w:r>
          </w:p>
        </w:tc>
        <w:tc>
          <w:tcPr>
            <w:tcW w:type="dxa" w:w="2880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Digitaal</w:t>
            </w:r>
          </w:p>
        </w:tc>
      </w:tr>
      <w:tr>
        <w:tc>
          <w:tcPr>
            <w:tcW w:type="dxa" w:w="288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HSE Manager</w:t>
            </w:r>
          </w:p>
        </w:tc>
        <w:tc>
          <w:tcPr>
            <w:tcW w:type="dxa" w:w="288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TBD</w:t>
            </w:r>
          </w:p>
        </w:tc>
        <w:tc>
          <w:tcPr>
            <w:tcW w:type="dxa" w:w="288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Digitaal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Inhoudsopgave</w:t>
      </w:r>
    </w:p>
    <w:p>
      <w:pPr>
        <w:spacing w:after="80"/>
      </w:pPr>
      <w:r>
        <w:rPr>
          <w:rFonts w:ascii="Calibri" w:hAnsi="Calibri"/>
          <w:b w:val="0"/>
          <w:sz w:val="22"/>
        </w:rPr>
        <w:t>1  Inleiding</w:t>
      </w:r>
    </w:p>
    <w:p>
      <w:pPr>
        <w:spacing w:after="80"/>
      </w:pPr>
      <w:r>
        <w:rPr>
          <w:rFonts w:ascii="Calibri" w:hAnsi="Calibri"/>
          <w:b w:val="0"/>
          <w:sz w:val="22"/>
        </w:rPr>
        <w:t>2  Beslisboom — Is het een MoC?</w:t>
      </w:r>
    </w:p>
    <w:p>
      <w:pPr>
        <w:spacing w:after="80"/>
      </w:pPr>
      <w:r>
        <w:rPr>
          <w:rFonts w:ascii="Calibri" w:hAnsi="Calibri"/>
          <w:b w:val="0"/>
          <w:sz w:val="22"/>
        </w:rPr>
        <w:t>3  Classificatie van Wijzigingstypen</w:t>
      </w:r>
    </w:p>
    <w:p>
      <w:pPr>
        <w:spacing w:after="80"/>
      </w:pPr>
      <w:r>
        <w:rPr>
          <w:rFonts w:ascii="Calibri" w:hAnsi="Calibri"/>
          <w:b w:val="0"/>
          <w:sz w:val="22"/>
        </w:rPr>
        <w:t>4  Risicomatrix (5×5)</w:t>
      </w:r>
    </w:p>
    <w:p>
      <w:pPr>
        <w:spacing w:after="80"/>
      </w:pPr>
      <w:r>
        <w:rPr>
          <w:rFonts w:ascii="Calibri" w:hAnsi="Calibri"/>
          <w:b w:val="0"/>
          <w:sz w:val="22"/>
        </w:rPr>
        <w:t>5  Veiligheidsstudie-indeling</w:t>
      </w:r>
    </w:p>
    <w:p>
      <w:pPr>
        <w:spacing w:after="80"/>
      </w:pPr>
      <w:r>
        <w:rPr>
          <w:rFonts w:ascii="Calibri" w:hAnsi="Calibri"/>
          <w:b w:val="0"/>
          <w:sz w:val="22"/>
        </w:rPr>
        <w:t>6  Goedkeuringsbevoegdheid Matrix</w:t>
      </w:r>
    </w:p>
    <w:p>
      <w:pPr>
        <w:spacing w:after="80"/>
      </w:pPr>
      <w:r>
        <w:rPr>
          <w:rFonts w:ascii="Calibri" w:hAnsi="Calibri"/>
          <w:b w:val="0"/>
          <w:sz w:val="22"/>
        </w:rPr>
        <w:t>7  Gebruiksaanwijzing XLSX Register</w:t>
      </w:r>
    </w:p>
    <w:p>
      <w:pPr>
        <w:spacing w:after="80"/>
      </w:pPr>
      <w:r>
        <w:rPr>
          <w:rFonts w:ascii="Calibri" w:hAnsi="Calibri"/>
          <w:b w:val="0"/>
          <w:sz w:val="22"/>
        </w:rPr>
        <w:t>Bronnenlijst</w:t>
      </w:r>
    </w:p>
    <w:p>
      <w:pPr>
        <w:spacing w:after="80"/>
      </w:pPr>
      <w:r>
        <w:rPr>
          <w:rFonts w:ascii="Calibri" w:hAnsi="Calibri"/>
          <w:b w:val="0"/>
          <w:sz w:val="22"/>
        </w:rPr>
        <w:t>TierVerify Log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  Inleiding</w:t>
      </w:r>
    </w:p>
    <w:p>
      <w:pPr>
        <w:spacing w:after="120"/>
      </w:pPr>
      <w:r>
        <w:rPr>
          <w:rFonts w:ascii="Calibri" w:hAnsi="Calibri"/>
          <w:b/>
          <w:color w:val="003366"/>
          <w:sz w:val="24"/>
        </w:rPr>
        <w:t>1.1  Doel</w:t>
      </w:r>
    </w:p>
    <w:p>
      <w:pPr>
        <w:spacing w:after="120"/>
      </w:pPr>
      <w:r>
        <w:rPr>
          <w:rFonts w:ascii="Calibri" w:hAnsi="Calibri"/>
          <w:b w:val="0"/>
          <w:sz w:val="22"/>
        </w:rPr>
        <w:t>Dit document (PM_VBS05_03) voorziet in objectieve beslisinstrumenten voor het classificeren van wijzigingen binnen het Management of Change (MoC) systeem van Phoenix Metals. Het beantwoordt drie fundamentele vragen:[1][2]</w:t>
      </w:r>
    </w:p>
    <w:p>
      <w:pPr>
        <w:pStyle w:val="ListBullet"/>
      </w:pPr>
      <w:r>
        <w:rPr>
          <w:rFonts w:ascii="Calibri" w:hAnsi="Calibri"/>
          <w:sz w:val="22"/>
        </w:rPr>
        <w:t>Is de voorgestelde wijziging MoC-waardig? (Beslisboom)</w:t>
      </w:r>
    </w:p>
    <w:p>
      <w:pPr>
        <w:pStyle w:val="ListBullet"/>
      </w:pPr>
      <w:r>
        <w:rPr>
          <w:rFonts w:ascii="Calibri" w:hAnsi="Calibri"/>
          <w:sz w:val="22"/>
        </w:rPr>
        <w:t>Wat is het risiconiveau van de wijziging? (Risicomatrix 5×5)</w:t>
      </w:r>
    </w:p>
    <w:p>
      <w:pPr>
        <w:pStyle w:val="ListBullet"/>
      </w:pPr>
      <w:r>
        <w:rPr>
          <w:rFonts w:ascii="Calibri" w:hAnsi="Calibri"/>
          <w:sz w:val="22"/>
        </w:rPr>
        <w:t>Welke veiligheidsstudie en goedkeuring zijn vereist? (Classificatie- en goedkeuringsmatrix)</w:t>
      </w:r>
    </w:p>
    <w:p>
      <w:pPr>
        <w:spacing w:after="120"/>
      </w:pPr>
      <w:r>
        <w:rPr>
          <w:rFonts w:ascii="Calibri" w:hAnsi="Calibri"/>
          <w:b/>
          <w:color w:val="003366"/>
          <w:sz w:val="24"/>
        </w:rPr>
        <w:t>1.2  Relatie met voorgaande documenten</w:t>
      </w:r>
    </w:p>
    <w:p>
      <w:pPr>
        <w:spacing w:after="120"/>
      </w:pPr>
      <w:r>
        <w:rPr>
          <w:rFonts w:ascii="Calibri" w:hAnsi="Calibri"/>
          <w:b w:val="0"/>
          <w:sz w:val="22"/>
        </w:rPr>
        <w:t>Dit document is onderdeel van het VBS Element 5 (BRZO Element IV) documentenset:[3]</w:t>
      </w:r>
    </w:p>
    <w:p>
      <w:pPr>
        <w:pStyle w:val="ListBullet"/>
      </w:pPr>
      <w:r>
        <w:rPr>
          <w:rFonts w:ascii="Calibri" w:hAnsi="Calibri"/>
          <w:sz w:val="22"/>
        </w:rPr>
        <w:t>PM_VBS05_01 — MoC Beleid &amp; Kaderdocument: definieert het wettelijk kader, beleidsuitgangspunten en scope.</w:t>
      </w:r>
    </w:p>
    <w:p>
      <w:pPr>
        <w:pStyle w:val="ListBullet"/>
      </w:pPr>
      <w:r>
        <w:rPr>
          <w:rFonts w:ascii="Calibri" w:hAnsi="Calibri"/>
          <w:sz w:val="22"/>
        </w:rPr>
        <w:t>PM_VBS05_02 — MoC Procedure: beschrijft het 9-fasen proces; Fase 2 (MoC-waardigheidtoets) verwijst direct naar de beslisboom en risicomatrix in dit document.</w:t>
      </w:r>
    </w:p>
    <w:p>
      <w:pPr>
        <w:pStyle w:val="ListBullet"/>
      </w:pPr>
      <w:r>
        <w:rPr>
          <w:rFonts w:ascii="Calibri" w:hAnsi="Calibri"/>
          <w:sz w:val="22"/>
        </w:rPr>
        <w:t>PM_VBS05_03 — Dit document: classificatie- en risicomatrixinstrumenten.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2  Beslisboom — Is het een MoC?</w:t>
      </w:r>
    </w:p>
    <w:p>
      <w:pPr>
        <w:spacing w:after="120"/>
      </w:pPr>
      <w:r>
        <w:rPr>
          <w:rFonts w:ascii="Calibri" w:hAnsi="Calibri"/>
          <w:b w:val="0"/>
          <w:sz w:val="22"/>
        </w:rPr>
        <w:t>De beslisboom biedt een gestructureerde, reproduceerbare methode om te bepalen of een voorgestelde wijziging door het MoC-proces moet worden geleid. De beslisboom wordt toegepast in Fase 2 van de MoC-procedure (PM_VBS05_02, §3.2).[2]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Stap</w:t>
            </w:r>
          </w:p>
        </w:tc>
        <w:tc>
          <w:tcPr>
            <w:tcW w:type="dxa" w:w="216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Vraag</w:t>
            </w:r>
          </w:p>
        </w:tc>
        <w:tc>
          <w:tcPr>
            <w:tcW w:type="dxa" w:w="216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Ja-pad</w:t>
            </w:r>
          </w:p>
        </w:tc>
        <w:tc>
          <w:tcPr>
            <w:tcW w:type="dxa" w:w="216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Nee-pad</w:t>
            </w:r>
          </w:p>
        </w:tc>
      </w:tr>
      <w:tr>
        <w:tc>
          <w:tcPr>
            <w:tcW w:type="dxa" w:w="216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1</w:t>
            </w:r>
          </w:p>
        </w:tc>
        <w:tc>
          <w:tcPr>
            <w:tcW w:type="dxa" w:w="216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Is het een identieke vervanging (Replacement in Function — RiF)?</w:t>
            </w:r>
          </w:p>
        </w:tc>
        <w:tc>
          <w:tcPr>
            <w:tcW w:type="dxa" w:w="216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→ Geen MoC vereist. Documenteer als RiF.</w:t>
            </w:r>
          </w:p>
        </w:tc>
        <w:tc>
          <w:tcPr>
            <w:tcW w:type="dxa" w:w="216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→ Ga naar stap 2</w:t>
            </w:r>
          </w:p>
        </w:tc>
      </w:tr>
      <w:tr>
        <w:tc>
          <w:tcPr>
            <w:tcW w:type="dxa" w:w="2160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2</w:t>
            </w:r>
          </w:p>
        </w:tc>
        <w:tc>
          <w:tcPr>
            <w:tcW w:type="dxa" w:w="2160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Verandert er iets aan proces, installatie, organisatie of veiligheidsmaatregelen?</w:t>
            </w:r>
          </w:p>
        </w:tc>
        <w:tc>
          <w:tcPr>
            <w:tcW w:type="dxa" w:w="2160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→ Ga naar stap 3</w:t>
            </w:r>
          </w:p>
        </w:tc>
        <w:tc>
          <w:tcPr>
            <w:tcW w:type="dxa" w:w="2160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→ Geen MoC vereist. Geen wijziging.</w:t>
            </w:r>
          </w:p>
        </w:tc>
      </w:tr>
      <w:tr>
        <w:tc>
          <w:tcPr>
            <w:tcW w:type="dxa" w:w="216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3</w:t>
            </w:r>
          </w:p>
        </w:tc>
        <w:tc>
          <w:tcPr>
            <w:tcW w:type="dxa" w:w="216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Is het routine-onderhoud dat volledig conform een bestaand, goedgekeurd onderhoudsprotocol wordt uitgevoerd?</w:t>
            </w:r>
          </w:p>
        </w:tc>
        <w:tc>
          <w:tcPr>
            <w:tcW w:type="dxa" w:w="216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→ Geen MoC vereist. Documenteer als routinematig.</w:t>
            </w:r>
          </w:p>
        </w:tc>
        <w:tc>
          <w:tcPr>
            <w:tcW w:type="dxa" w:w="216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→ Ga naar stap 4</w:t>
            </w:r>
          </w:p>
        </w:tc>
      </w:tr>
      <w:tr>
        <w:tc>
          <w:tcPr>
            <w:tcW w:type="dxa" w:w="2160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4</w:t>
            </w:r>
          </w:p>
        </w:tc>
        <w:tc>
          <w:tcPr>
            <w:tcW w:type="dxa" w:w="2160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Is er sprake van spoed? (4 criteria: ongeplande uitval, direct gevaar voor personen, milieurisico, of stilstand &gt;24uur met veiligheidsimpact)</w:t>
            </w:r>
          </w:p>
        </w:tc>
        <w:tc>
          <w:tcPr>
            <w:tcW w:type="dxa" w:w="2160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→ Spoed-MoC. Volg verkorte procedure met verplichte achteraf-toetsing. [4]</w:t>
            </w:r>
          </w:p>
        </w:tc>
        <w:tc>
          <w:tcPr>
            <w:tcW w:type="dxa" w:w="2160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→ Ga naar stap 5</w:t>
            </w:r>
          </w:p>
        </w:tc>
      </w:tr>
      <w:tr>
        <w:tc>
          <w:tcPr>
            <w:tcW w:type="dxa" w:w="216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5</w:t>
            </w:r>
          </w:p>
        </w:tc>
        <w:tc>
          <w:tcPr>
            <w:tcW w:type="dxa" w:w="216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Raakt het wijziging veiligheidskritische equipment (SCE), veiligheidskritische procedures of SEH-elementen?</w:t>
            </w:r>
          </w:p>
        </w:tc>
        <w:tc>
          <w:tcPr>
            <w:tcW w:type="dxa" w:w="216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→ MoC HOOG. Volledige procedure met verdiepte veiligheidsstudie.</w:t>
            </w:r>
          </w:p>
        </w:tc>
        <w:tc>
          <w:tcPr>
            <w:tcW w:type="dxa" w:w="216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→ Standaard MoC. Standaard procedure.</w:t>
            </w:r>
          </w:p>
        </w:tc>
      </w:tr>
    </w:tbl>
    <w:p>
      <w:pPr>
        <w:spacing w:after="120"/>
      </w:pPr>
      <w:r>
        <w:rPr>
          <w:rFonts w:ascii="Calibri" w:hAnsi="Calibri"/>
          <w:b w:val="0"/>
          <w:sz w:val="12"/>
        </w:rPr>
      </w:r>
    </w:p>
    <w:p>
      <w:pPr>
        <w:spacing w:after="120"/>
      </w:pPr>
      <w:r>
        <w:rPr>
          <w:rFonts w:ascii="Calibri" w:hAnsi="Calibri"/>
          <w:b w:val="0"/>
          <w:sz w:val="20"/>
        </w:rPr>
        <w:t>Opmerking: Bij twijfel altijd MoC initiëren. Het principe 'in geval van twijfel, classificeer als MoC' is leidend.[3]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3  Classificatie van Wijzigingstypen</w:t>
      </w:r>
    </w:p>
    <w:p>
      <w:pPr>
        <w:spacing w:after="120"/>
      </w:pPr>
      <w:r>
        <w:rPr>
          <w:rFonts w:ascii="Calibri" w:hAnsi="Calibri"/>
          <w:b w:val="0"/>
          <w:sz w:val="22"/>
        </w:rPr>
        <w:t>Wijzigingen worden geclassificeerd naar type en standaard risiconiveau. Het risiconiveau bepaalt de minimale diepgang van de veiligheidsstudie. De daadwerkelijke risicoscore wordt bepaald via de 5×5 risicomatrix (hoofdstuk 4) en kan afwijken van het standaardniveau.[1][5]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Wijzigingstype</w:t>
            </w:r>
          </w:p>
        </w:tc>
        <w:tc>
          <w:tcPr>
            <w:tcW w:type="dxa" w:w="216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Voorbeelden</w:t>
            </w:r>
          </w:p>
        </w:tc>
        <w:tc>
          <w:tcPr>
            <w:tcW w:type="dxa" w:w="216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Voorbeelden (vervolg)</w:t>
            </w:r>
          </w:p>
        </w:tc>
        <w:tc>
          <w:tcPr>
            <w:tcW w:type="dxa" w:w="216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Standaard risiconiveau</w:t>
            </w:r>
          </w:p>
        </w:tc>
      </w:tr>
      <w:tr>
        <w:tc>
          <w:tcPr>
            <w:tcW w:type="dxa" w:w="216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1. Procesparameter-wijziging</w:t>
            </w:r>
          </w:p>
        </w:tc>
        <w:tc>
          <w:tcPr>
            <w:tcW w:type="dxa" w:w="216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Temperatuurverhoging smeltoven +25°C; Drukbereik reactor aanpassen</w:t>
            </w:r>
          </w:p>
        </w:tc>
        <w:tc>
          <w:tcPr>
            <w:tcW w:type="dxa" w:w="216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Procestijd uitbreiden buiten ontwerptraject</w:t>
            </w:r>
          </w:p>
        </w:tc>
        <w:tc>
          <w:tcPr>
            <w:tcW w:type="dxa" w:w="216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Gemiddeld</w:t>
            </w:r>
          </w:p>
        </w:tc>
      </w:tr>
      <w:tr>
        <w:tc>
          <w:tcPr>
            <w:tcW w:type="dxa" w:w="2160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2. Apparatuur-/componentwijziging</w:t>
            </w:r>
          </w:p>
        </w:tc>
        <w:tc>
          <w:tcPr>
            <w:tcW w:type="dxa" w:w="2160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Pomp vervangen door ander type met gelijke capaciteit</w:t>
            </w:r>
          </w:p>
        </w:tc>
        <w:tc>
          <w:tcPr>
            <w:tcW w:type="dxa" w:w="2160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Warmtewisselaar met afwijkend materiaal</w:t>
            </w:r>
          </w:p>
        </w:tc>
        <w:tc>
          <w:tcPr>
            <w:tcW w:type="dxa" w:w="2160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Gemiddeld</w:t>
            </w:r>
          </w:p>
        </w:tc>
      </w:tr>
      <w:tr>
        <w:tc>
          <w:tcPr>
            <w:tcW w:type="dxa" w:w="216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3. Proceschemie-/grondstofwijziging</w:t>
            </w:r>
          </w:p>
        </w:tc>
        <w:tc>
          <w:tcPr>
            <w:tcW w:type="dxa" w:w="216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Legeringssamenstelling bronmateriaal wijzigen</w:t>
            </w:r>
          </w:p>
        </w:tc>
        <w:tc>
          <w:tcPr>
            <w:tcW w:type="dxa" w:w="216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Alternatieve zuiveringschemicaliër invoeren</w:t>
            </w:r>
          </w:p>
        </w:tc>
        <w:tc>
          <w:tcPr>
            <w:tcW w:type="dxa" w:w="216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Hoog</w:t>
            </w:r>
          </w:p>
        </w:tc>
      </w:tr>
      <w:tr>
        <w:tc>
          <w:tcPr>
            <w:tcW w:type="dxa" w:w="2160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4. Operationele procedure-wijziging</w:t>
            </w:r>
          </w:p>
        </w:tc>
        <w:tc>
          <w:tcPr>
            <w:tcW w:type="dxa" w:w="2160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Opstartprocedure aanpassen na optimalisatie</w:t>
            </w:r>
          </w:p>
        </w:tc>
        <w:tc>
          <w:tcPr>
            <w:tcW w:type="dxa" w:w="2160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Nieuwshift-overdrachtsformulier invoeren</w:t>
            </w:r>
          </w:p>
        </w:tc>
        <w:tc>
          <w:tcPr>
            <w:tcW w:type="dxa" w:w="2160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Laag</w:t>
            </w:r>
          </w:p>
        </w:tc>
      </w:tr>
      <w:tr>
        <w:tc>
          <w:tcPr>
            <w:tcW w:type="dxa" w:w="216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5. Organisatorische wijziging</w:t>
            </w:r>
          </w:p>
        </w:tc>
        <w:tc>
          <w:tcPr>
            <w:tcW w:type="dxa" w:w="216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Nieuwe ploegenstructuur (3- naar 4-ploegensysteem)</w:t>
            </w:r>
          </w:p>
        </w:tc>
        <w:tc>
          <w:tcPr>
            <w:tcW w:type="dxa" w:w="216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Fusie van twee afdelingen tot één operationele eenheid</w:t>
            </w:r>
          </w:p>
        </w:tc>
        <w:tc>
          <w:tcPr>
            <w:tcW w:type="dxa" w:w="216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Gemiddeld</w:t>
            </w:r>
          </w:p>
        </w:tc>
      </w:tr>
      <w:tr>
        <w:tc>
          <w:tcPr>
            <w:tcW w:type="dxa" w:w="2160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6. Veiligheidssysteemwijziging</w:t>
            </w:r>
          </w:p>
        </w:tc>
        <w:tc>
          <w:tcPr>
            <w:tcW w:type="dxa" w:w="2160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Storing-alarmdrempel gasdetectie aanpassen</w:t>
            </w:r>
          </w:p>
        </w:tc>
        <w:tc>
          <w:tcPr>
            <w:tcW w:type="dxa" w:w="2160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SIS logica wijzigen (trip-punt verleggen)</w:t>
            </w:r>
          </w:p>
        </w:tc>
        <w:tc>
          <w:tcPr>
            <w:tcW w:type="dxa" w:w="2160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Hoog</w:t>
            </w:r>
          </w:p>
        </w:tc>
      </w:tr>
      <w:tr>
        <w:tc>
          <w:tcPr>
            <w:tcW w:type="dxa" w:w="216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7. Externe-factorwijziging</w:t>
            </w:r>
          </w:p>
        </w:tc>
        <w:tc>
          <w:tcPr>
            <w:tcW w:type="dxa" w:w="216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Nieuwe wettelijke emissiegrens van kracht</w:t>
            </w:r>
          </w:p>
        </w:tc>
        <w:tc>
          <w:tcPr>
            <w:tcW w:type="dxa" w:w="216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Aangrenzend terrein gewijzigd gebruik (bouwactiviteit)</w:t>
            </w:r>
          </w:p>
        </w:tc>
        <w:tc>
          <w:tcPr>
            <w:tcW w:type="dxa" w:w="216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Gemiddeld</w:t>
            </w:r>
          </w:p>
        </w:tc>
      </w:tr>
      <w:tr>
        <w:tc>
          <w:tcPr>
            <w:tcW w:type="dxa" w:w="2160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8. Tijdelijke wijziging</w:t>
            </w:r>
          </w:p>
        </w:tc>
        <w:tc>
          <w:tcPr>
            <w:tcW w:type="dxa" w:w="2160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Tijdelijke bypass leiding voor 48 uur onderhoud</w:t>
            </w:r>
          </w:p>
        </w:tc>
        <w:tc>
          <w:tcPr>
            <w:tcW w:type="dxa" w:w="2160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Mobiele stoomketel inzetten tijdens revisie</w:t>
            </w:r>
          </w:p>
        </w:tc>
        <w:tc>
          <w:tcPr>
            <w:tcW w:type="dxa" w:w="2160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Gemiddeld</w:t>
            </w:r>
          </w:p>
        </w:tc>
      </w:tr>
      <w:tr>
        <w:tc>
          <w:tcPr>
            <w:tcW w:type="dxa" w:w="216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9. Ontwerp-/constructiewijziging</w:t>
            </w:r>
          </w:p>
        </w:tc>
        <w:tc>
          <w:tcPr>
            <w:tcW w:type="dxa" w:w="216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Nieuwe pijpleidingroute door andere locatie</w:t>
            </w:r>
          </w:p>
        </w:tc>
        <w:tc>
          <w:tcPr>
            <w:tcW w:type="dxa" w:w="216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Fundamentsspecifikatie wijzigen voor opslagtank</w:t>
            </w:r>
          </w:p>
        </w:tc>
        <w:tc>
          <w:tcPr>
            <w:tcW w:type="dxa" w:w="216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Hoog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4  Risicomatrix (5×5)</w:t>
      </w:r>
    </w:p>
    <w:p>
      <w:pPr>
        <w:spacing w:after="120"/>
      </w:pPr>
      <w:r>
        <w:rPr>
          <w:rFonts w:ascii="Calibri" w:hAnsi="Calibri"/>
          <w:b/>
          <w:color w:val="003366"/>
          <w:sz w:val="24"/>
        </w:rPr>
        <w:t>4.1  As-definities</w:t>
      </w:r>
    </w:p>
    <w:p>
      <w:pPr>
        <w:spacing w:after="120"/>
      </w:pPr>
      <w:r>
        <w:rPr>
          <w:rFonts w:ascii="Calibri" w:hAnsi="Calibri"/>
          <w:b/>
          <w:sz w:val="22"/>
        </w:rPr>
        <w:t>Likelihood (waarschijnlijkheid):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Score</w:t>
            </w:r>
          </w:p>
        </w:tc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Categorie</w:t>
            </w:r>
          </w:p>
        </w:tc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Omschrijving</w:t>
            </w:r>
          </w:p>
        </w:tc>
      </w:tr>
      <w:tr>
        <w:tc>
          <w:tcPr>
            <w:tcW w:type="dxa" w:w="288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1</w:t>
            </w:r>
          </w:p>
        </w:tc>
        <w:tc>
          <w:tcPr>
            <w:tcW w:type="dxa" w:w="288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Zeldzaam</w:t>
            </w:r>
          </w:p>
        </w:tc>
        <w:tc>
          <w:tcPr>
            <w:tcW w:type="dxa" w:w="288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Eens in de &gt;10 jaar; praktisch ondenkbaar onder normale omstandigheden</w:t>
            </w:r>
          </w:p>
        </w:tc>
      </w:tr>
      <w:tr>
        <w:tc>
          <w:tcPr>
            <w:tcW w:type="dxa" w:w="2880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2</w:t>
            </w:r>
          </w:p>
        </w:tc>
        <w:tc>
          <w:tcPr>
            <w:tcW w:type="dxa" w:w="2880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Onwaarschijnlijk</w:t>
            </w:r>
          </w:p>
        </w:tc>
        <w:tc>
          <w:tcPr>
            <w:tcW w:type="dxa" w:w="2880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Eens in de 5-10 jaar; mogelijk maar zeer onwaarschijnlijk</w:t>
            </w:r>
          </w:p>
        </w:tc>
      </w:tr>
      <w:tr>
        <w:tc>
          <w:tcPr>
            <w:tcW w:type="dxa" w:w="288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3</w:t>
            </w:r>
          </w:p>
        </w:tc>
        <w:tc>
          <w:tcPr>
            <w:tcW w:type="dxa" w:w="288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Mogelijk</w:t>
            </w:r>
          </w:p>
        </w:tc>
        <w:tc>
          <w:tcPr>
            <w:tcW w:type="dxa" w:w="288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Eens in de 1-5 jaar; kan voorkomen onder specifieke omstandigheden</w:t>
            </w:r>
          </w:p>
        </w:tc>
      </w:tr>
      <w:tr>
        <w:tc>
          <w:tcPr>
            <w:tcW w:type="dxa" w:w="2880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4</w:t>
            </w:r>
          </w:p>
        </w:tc>
        <w:tc>
          <w:tcPr>
            <w:tcW w:type="dxa" w:w="2880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Waarschijnlijk</w:t>
            </w:r>
          </w:p>
        </w:tc>
        <w:tc>
          <w:tcPr>
            <w:tcW w:type="dxa" w:w="2880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Eens per jaar of frequenter; te verwachten in de levensduur van de installatie</w:t>
            </w:r>
          </w:p>
        </w:tc>
      </w:tr>
      <w:tr>
        <w:tc>
          <w:tcPr>
            <w:tcW w:type="dxa" w:w="288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5</w:t>
            </w:r>
          </w:p>
        </w:tc>
        <w:tc>
          <w:tcPr>
            <w:tcW w:type="dxa" w:w="288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Verwacht</w:t>
            </w:r>
          </w:p>
        </w:tc>
        <w:tc>
          <w:tcPr>
            <w:tcW w:type="dxa" w:w="288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Meerdere keren per jaar; zal vrijwel zeker optreden</w:t>
            </w:r>
          </w:p>
        </w:tc>
      </w:tr>
    </w:tbl>
    <w:p>
      <w:pPr>
        <w:spacing w:after="120"/>
      </w:pPr>
      <w:r>
        <w:rPr>
          <w:rFonts w:ascii="Calibri" w:hAnsi="Calibri"/>
          <w:b w:val="0"/>
          <w:sz w:val="8"/>
        </w:rPr>
      </w:r>
    </w:p>
    <w:p>
      <w:pPr>
        <w:spacing w:after="120"/>
      </w:pPr>
      <w:r>
        <w:rPr>
          <w:rFonts w:ascii="Calibri" w:hAnsi="Calibri"/>
          <w:b/>
          <w:sz w:val="22"/>
        </w:rPr>
        <w:t>Impact (gevolg):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Score</w:t>
            </w:r>
          </w:p>
        </w:tc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Categorie</w:t>
            </w:r>
          </w:p>
        </w:tc>
        <w:tc>
          <w:tcPr>
            <w:tcW w:type="dxa" w:w="28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Omschrijving</w:t>
            </w:r>
          </w:p>
        </w:tc>
      </w:tr>
      <w:tr>
        <w:tc>
          <w:tcPr>
            <w:tcW w:type="dxa" w:w="288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1</w:t>
            </w:r>
          </w:p>
        </w:tc>
        <w:tc>
          <w:tcPr>
            <w:tcW w:type="dxa" w:w="288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Verwaarloosbaar</w:t>
            </w:r>
          </w:p>
        </w:tc>
        <w:tc>
          <w:tcPr>
            <w:tcW w:type="dxa" w:w="288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Geen letsel; beperkte schade &lt;€10.000; geen milieu-impact</w:t>
            </w:r>
          </w:p>
        </w:tc>
      </w:tr>
      <w:tr>
        <w:tc>
          <w:tcPr>
            <w:tcW w:type="dxa" w:w="2880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2</w:t>
            </w:r>
          </w:p>
        </w:tc>
        <w:tc>
          <w:tcPr>
            <w:tcW w:type="dxa" w:w="2880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Gering</w:t>
            </w:r>
          </w:p>
        </w:tc>
        <w:tc>
          <w:tcPr>
            <w:tcW w:type="dxa" w:w="2880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Eerstehulpgeval; schade €10.000-€100.000; beperkte milieunormoverschrijding</w:t>
            </w:r>
          </w:p>
        </w:tc>
      </w:tr>
      <w:tr>
        <w:tc>
          <w:tcPr>
            <w:tcW w:type="dxa" w:w="288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3</w:t>
            </w:r>
          </w:p>
        </w:tc>
        <w:tc>
          <w:tcPr>
            <w:tcW w:type="dxa" w:w="288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Matig</w:t>
            </w:r>
          </w:p>
        </w:tc>
        <w:tc>
          <w:tcPr>
            <w:tcW w:type="dxa" w:w="288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Ziekenhuisopname; schade €100.000-€1M; significante milieunormoverschrijding</w:t>
            </w:r>
          </w:p>
        </w:tc>
      </w:tr>
      <w:tr>
        <w:tc>
          <w:tcPr>
            <w:tcW w:type="dxa" w:w="2880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4</w:t>
            </w:r>
          </w:p>
        </w:tc>
        <w:tc>
          <w:tcPr>
            <w:tcW w:type="dxa" w:w="2880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Ernstig</w:t>
            </w:r>
          </w:p>
        </w:tc>
        <w:tc>
          <w:tcPr>
            <w:tcW w:type="dxa" w:w="2880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Blijvend letsel of meerdere gewonden; schade €1M-€10M; ernstige bodem/waterverontreiniging</w:t>
            </w:r>
          </w:p>
        </w:tc>
      </w:tr>
      <w:tr>
        <w:tc>
          <w:tcPr>
            <w:tcW w:type="dxa" w:w="288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5</w:t>
            </w:r>
          </w:p>
        </w:tc>
        <w:tc>
          <w:tcPr>
            <w:tcW w:type="dxa" w:w="288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Catastrofaal</w:t>
            </w:r>
          </w:p>
        </w:tc>
        <w:tc>
          <w:tcPr>
            <w:tcW w:type="dxa" w:w="2880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Doden of massa-slachtoffers; schade &gt;€10M; domino-effect; catastrofaal milieufout</w:t>
            </w:r>
          </w:p>
        </w:tc>
      </w:tr>
    </w:tbl>
    <w:p>
      <w:pPr>
        <w:spacing w:after="120"/>
      </w:pPr>
      <w:r>
        <w:rPr>
          <w:rFonts w:ascii="Calibri" w:hAnsi="Calibri"/>
          <w:b w:val="0"/>
          <w:sz w:val="12"/>
        </w:rPr>
      </w:r>
    </w:p>
    <w:p>
      <w:pPr>
        <w:spacing w:after="120"/>
      </w:pPr>
      <w:r>
        <w:rPr>
          <w:rFonts w:ascii="Calibri" w:hAnsi="Calibri"/>
          <w:b/>
          <w:color w:val="003366"/>
          <w:sz w:val="24"/>
        </w:rPr>
        <w:t>4.2  Risicomatrix</w:t>
      </w:r>
    </w:p>
    <w:p>
      <w:pPr>
        <w:spacing w:after="120"/>
      </w:pPr>
      <w:r>
        <w:rPr>
          <w:rFonts w:ascii="Calibri" w:hAnsi="Calibri"/>
          <w:b w:val="0"/>
          <w:sz w:val="22"/>
        </w:rPr>
        <w:t>Scoreberekening: Risicoscore = Likelihood × Impact. De resulterende score (1-25) wordt ingedeeld in vier risicogebieden:[5]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Likelihood ↓ / Impact →</w:t>
            </w:r>
          </w:p>
        </w:tc>
        <w:tc>
          <w:tcPr>
            <w:tcW w:type="dxa" w:w="1440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1</w:t>
            </w:r>
          </w:p>
        </w:tc>
        <w:tc>
          <w:tcPr>
            <w:tcW w:type="dxa" w:w="1440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2</w:t>
            </w:r>
          </w:p>
        </w:tc>
        <w:tc>
          <w:tcPr>
            <w:tcW w:type="dxa" w:w="1440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3</w:t>
            </w:r>
          </w:p>
        </w:tc>
        <w:tc>
          <w:tcPr>
            <w:tcW w:type="dxa" w:w="1440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4</w:t>
            </w:r>
          </w:p>
        </w:tc>
        <w:tc>
          <w:tcPr>
            <w:tcW w:type="dxa" w:w="1440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5</w:t>
            </w:r>
          </w:p>
        </w:tc>
      </w:tr>
      <w:tr>
        <w:tc>
          <w:tcPr>
            <w:tcW w:type="dxa" w:w="1440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1</w:t>
            </w:r>
          </w:p>
        </w:tc>
        <w:tc>
          <w:tcPr>
            <w:tcW w:type="dxa" w:w="1440"/>
            <w:shd w:fill="10B981"/>
          </w:tcPr>
          <w:p>
            <w:pPr>
              <w:jc w:val="center"/>
            </w:pPr>
            <w:r>
              <w:rPr>
                <w:rFonts w:ascii="Calibri" w:hAnsi="Calibri"/>
                <w:b/>
                <w:sz w:val="24"/>
              </w:rPr>
              <w:t>1</w:t>
            </w:r>
          </w:p>
        </w:tc>
        <w:tc>
          <w:tcPr>
            <w:tcW w:type="dxa" w:w="1440"/>
            <w:shd w:fill="10B981"/>
          </w:tcPr>
          <w:p>
            <w:pPr>
              <w:jc w:val="center"/>
            </w:pPr>
            <w:r>
              <w:rPr>
                <w:rFonts w:ascii="Calibri" w:hAnsi="Calibri"/>
                <w:b/>
                <w:sz w:val="24"/>
              </w:rPr>
              <w:t>2</w:t>
            </w:r>
          </w:p>
        </w:tc>
        <w:tc>
          <w:tcPr>
            <w:tcW w:type="dxa" w:w="1440"/>
            <w:shd w:fill="10B981"/>
          </w:tcPr>
          <w:p>
            <w:pPr>
              <w:jc w:val="center"/>
            </w:pPr>
            <w:r>
              <w:rPr>
                <w:rFonts w:ascii="Calibri" w:hAnsi="Calibri"/>
                <w:b/>
                <w:sz w:val="24"/>
              </w:rPr>
              <w:t>3</w:t>
            </w:r>
          </w:p>
        </w:tc>
        <w:tc>
          <w:tcPr>
            <w:tcW w:type="dxa" w:w="1440"/>
            <w:shd w:fill="10B981"/>
          </w:tcPr>
          <w:p>
            <w:pPr>
              <w:jc w:val="center"/>
            </w:pPr>
            <w:r>
              <w:rPr>
                <w:rFonts w:ascii="Calibri" w:hAnsi="Calibri"/>
                <w:b/>
                <w:sz w:val="24"/>
              </w:rPr>
              <w:t>4</w:t>
            </w:r>
          </w:p>
        </w:tc>
        <w:tc>
          <w:tcPr>
            <w:tcW w:type="dxa" w:w="1440"/>
            <w:shd w:fill="F59E0B"/>
          </w:tcPr>
          <w:p>
            <w:pPr>
              <w:jc w:val="center"/>
            </w:pPr>
            <w:r>
              <w:rPr>
                <w:rFonts w:ascii="Calibri" w:hAnsi="Calibri"/>
                <w:b/>
                <w:sz w:val="24"/>
              </w:rPr>
              <w:t>5</w:t>
            </w:r>
          </w:p>
        </w:tc>
      </w:tr>
      <w:tr>
        <w:tc>
          <w:tcPr>
            <w:tcW w:type="dxa" w:w="1440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2</w:t>
            </w:r>
          </w:p>
        </w:tc>
        <w:tc>
          <w:tcPr>
            <w:tcW w:type="dxa" w:w="1440"/>
            <w:shd w:fill="10B981"/>
          </w:tcPr>
          <w:p>
            <w:pPr>
              <w:jc w:val="center"/>
            </w:pPr>
            <w:r>
              <w:rPr>
                <w:rFonts w:ascii="Calibri" w:hAnsi="Calibri"/>
                <w:b/>
                <w:sz w:val="24"/>
              </w:rPr>
              <w:t>2</w:t>
            </w:r>
          </w:p>
        </w:tc>
        <w:tc>
          <w:tcPr>
            <w:tcW w:type="dxa" w:w="1440"/>
            <w:shd w:fill="10B981"/>
          </w:tcPr>
          <w:p>
            <w:pPr>
              <w:jc w:val="center"/>
            </w:pPr>
            <w:r>
              <w:rPr>
                <w:rFonts w:ascii="Calibri" w:hAnsi="Calibri"/>
                <w:b/>
                <w:sz w:val="24"/>
              </w:rPr>
              <w:t>4</w:t>
            </w:r>
          </w:p>
        </w:tc>
        <w:tc>
          <w:tcPr>
            <w:tcW w:type="dxa" w:w="1440"/>
            <w:shd w:fill="F59E0B"/>
          </w:tcPr>
          <w:p>
            <w:pPr>
              <w:jc w:val="center"/>
            </w:pPr>
            <w:r>
              <w:rPr>
                <w:rFonts w:ascii="Calibri" w:hAnsi="Calibri"/>
                <w:b/>
                <w:sz w:val="24"/>
              </w:rPr>
              <w:t>6</w:t>
            </w:r>
          </w:p>
        </w:tc>
        <w:tc>
          <w:tcPr>
            <w:tcW w:type="dxa" w:w="1440"/>
            <w:shd w:fill="F59E0B"/>
          </w:tcPr>
          <w:p>
            <w:pPr>
              <w:jc w:val="center"/>
            </w:pPr>
            <w:r>
              <w:rPr>
                <w:rFonts w:ascii="Calibri" w:hAnsi="Calibri"/>
                <w:b/>
                <w:sz w:val="24"/>
              </w:rPr>
              <w:t>8</w:t>
            </w:r>
          </w:p>
        </w:tc>
        <w:tc>
          <w:tcPr>
            <w:tcW w:type="dxa" w:w="1440"/>
            <w:shd w:fill="DC2626"/>
          </w:tcPr>
          <w:p>
            <w:pPr>
              <w:jc w:val="center"/>
            </w:pPr>
            <w:r>
              <w:rPr>
                <w:rFonts w:ascii="Calibri" w:hAnsi="Calibri"/>
                <w:b/>
                <w:sz w:val="24"/>
              </w:rPr>
              <w:t>10</w:t>
            </w:r>
          </w:p>
        </w:tc>
      </w:tr>
      <w:tr>
        <w:tc>
          <w:tcPr>
            <w:tcW w:type="dxa" w:w="1440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3</w:t>
            </w:r>
          </w:p>
        </w:tc>
        <w:tc>
          <w:tcPr>
            <w:tcW w:type="dxa" w:w="1440"/>
            <w:shd w:fill="10B981"/>
          </w:tcPr>
          <w:p>
            <w:pPr>
              <w:jc w:val="center"/>
            </w:pPr>
            <w:r>
              <w:rPr>
                <w:rFonts w:ascii="Calibri" w:hAnsi="Calibri"/>
                <w:b/>
                <w:sz w:val="24"/>
              </w:rPr>
              <w:t>3</w:t>
            </w:r>
          </w:p>
        </w:tc>
        <w:tc>
          <w:tcPr>
            <w:tcW w:type="dxa" w:w="1440"/>
            <w:shd w:fill="F59E0B"/>
          </w:tcPr>
          <w:p>
            <w:pPr>
              <w:jc w:val="center"/>
            </w:pPr>
            <w:r>
              <w:rPr>
                <w:rFonts w:ascii="Calibri" w:hAnsi="Calibri"/>
                <w:b/>
                <w:sz w:val="24"/>
              </w:rPr>
              <w:t>6</w:t>
            </w:r>
          </w:p>
        </w:tc>
        <w:tc>
          <w:tcPr>
            <w:tcW w:type="dxa" w:w="1440"/>
            <w:shd w:fill="F59E0B"/>
          </w:tcPr>
          <w:p>
            <w:pPr>
              <w:jc w:val="center"/>
            </w:pPr>
            <w:r>
              <w:rPr>
                <w:rFonts w:ascii="Calibri" w:hAnsi="Calibri"/>
                <w:b/>
                <w:sz w:val="24"/>
              </w:rPr>
              <w:t>9</w:t>
            </w:r>
          </w:p>
        </w:tc>
        <w:tc>
          <w:tcPr>
            <w:tcW w:type="dxa" w:w="1440"/>
            <w:shd w:fill="DC2626"/>
          </w:tcPr>
          <w:p>
            <w:pPr>
              <w:jc w:val="center"/>
            </w:pPr>
            <w:r>
              <w:rPr>
                <w:rFonts w:ascii="Calibri" w:hAnsi="Calibri"/>
                <w:b/>
                <w:sz w:val="24"/>
              </w:rPr>
              <w:t>12</w:t>
            </w:r>
          </w:p>
        </w:tc>
        <w:tc>
          <w:tcPr>
            <w:tcW w:type="dxa" w:w="1440"/>
            <w:shd w:fill="DC2626"/>
          </w:tcPr>
          <w:p>
            <w:pPr>
              <w:jc w:val="center"/>
            </w:pPr>
            <w:r>
              <w:rPr>
                <w:rFonts w:ascii="Calibri" w:hAnsi="Calibri"/>
                <w:b/>
                <w:sz w:val="24"/>
              </w:rPr>
              <w:t>15</w:t>
            </w:r>
          </w:p>
        </w:tc>
      </w:tr>
      <w:tr>
        <w:tc>
          <w:tcPr>
            <w:tcW w:type="dxa" w:w="1440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4</w:t>
            </w:r>
          </w:p>
        </w:tc>
        <w:tc>
          <w:tcPr>
            <w:tcW w:type="dxa" w:w="1440"/>
            <w:shd w:fill="10B981"/>
          </w:tcPr>
          <w:p>
            <w:pPr>
              <w:jc w:val="center"/>
            </w:pPr>
            <w:r>
              <w:rPr>
                <w:rFonts w:ascii="Calibri" w:hAnsi="Calibri"/>
                <w:b/>
                <w:sz w:val="24"/>
              </w:rPr>
              <w:t>4</w:t>
            </w:r>
          </w:p>
        </w:tc>
        <w:tc>
          <w:tcPr>
            <w:tcW w:type="dxa" w:w="1440"/>
            <w:shd w:fill="F59E0B"/>
          </w:tcPr>
          <w:p>
            <w:pPr>
              <w:jc w:val="center"/>
            </w:pPr>
            <w:r>
              <w:rPr>
                <w:rFonts w:ascii="Calibri" w:hAnsi="Calibri"/>
                <w:b/>
                <w:sz w:val="24"/>
              </w:rPr>
              <w:t>8</w:t>
            </w:r>
          </w:p>
        </w:tc>
        <w:tc>
          <w:tcPr>
            <w:tcW w:type="dxa" w:w="1440"/>
            <w:shd w:fill="DC2626"/>
          </w:tcPr>
          <w:p>
            <w:pPr>
              <w:jc w:val="center"/>
            </w:pPr>
            <w:r>
              <w:rPr>
                <w:rFonts w:ascii="Calibri" w:hAnsi="Calibri"/>
                <w:b/>
                <w:sz w:val="24"/>
              </w:rPr>
              <w:t>12</w:t>
            </w:r>
          </w:p>
        </w:tc>
        <w:tc>
          <w:tcPr>
            <w:tcW w:type="dxa" w:w="1440"/>
            <w:shd w:fill="DC2626"/>
          </w:tcPr>
          <w:p>
            <w:pPr>
              <w:jc w:val="center"/>
            </w:pPr>
            <w:r>
              <w:rPr>
                <w:rFonts w:ascii="Calibri" w:hAnsi="Calibri"/>
                <w:b/>
                <w:sz w:val="24"/>
              </w:rPr>
              <w:t>16</w:t>
            </w:r>
          </w:p>
        </w:tc>
        <w:tc>
          <w:tcPr>
            <w:tcW w:type="dxa" w:w="1440"/>
            <w:shd w:fill="7F1D1D"/>
          </w:tcPr>
          <w:p>
            <w:pPr>
              <w:jc w:val="center"/>
            </w:pPr>
            <w:r>
              <w:rPr>
                <w:rFonts w:ascii="Calibri" w:hAnsi="Calibri"/>
                <w:b/>
                <w:sz w:val="24"/>
              </w:rPr>
              <w:t>20</w:t>
            </w:r>
          </w:p>
        </w:tc>
      </w:tr>
      <w:tr>
        <w:tc>
          <w:tcPr>
            <w:tcW w:type="dxa" w:w="1440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5</w:t>
            </w:r>
          </w:p>
        </w:tc>
        <w:tc>
          <w:tcPr>
            <w:tcW w:type="dxa" w:w="1440"/>
            <w:shd w:fill="F59E0B"/>
          </w:tcPr>
          <w:p>
            <w:pPr>
              <w:jc w:val="center"/>
            </w:pPr>
            <w:r>
              <w:rPr>
                <w:rFonts w:ascii="Calibri" w:hAnsi="Calibri"/>
                <w:b/>
                <w:sz w:val="24"/>
              </w:rPr>
              <w:t>5</w:t>
            </w:r>
          </w:p>
        </w:tc>
        <w:tc>
          <w:tcPr>
            <w:tcW w:type="dxa" w:w="1440"/>
            <w:shd w:fill="DC2626"/>
          </w:tcPr>
          <w:p>
            <w:pPr>
              <w:jc w:val="center"/>
            </w:pPr>
            <w:r>
              <w:rPr>
                <w:rFonts w:ascii="Calibri" w:hAnsi="Calibri"/>
                <w:b/>
                <w:sz w:val="24"/>
              </w:rPr>
              <w:t>10</w:t>
            </w:r>
          </w:p>
        </w:tc>
        <w:tc>
          <w:tcPr>
            <w:tcW w:type="dxa" w:w="1440"/>
            <w:shd w:fill="DC2626"/>
          </w:tcPr>
          <w:p>
            <w:pPr>
              <w:jc w:val="center"/>
            </w:pPr>
            <w:r>
              <w:rPr>
                <w:rFonts w:ascii="Calibri" w:hAnsi="Calibri"/>
                <w:b/>
                <w:sz w:val="24"/>
              </w:rPr>
              <w:t>15</w:t>
            </w:r>
          </w:p>
        </w:tc>
        <w:tc>
          <w:tcPr>
            <w:tcW w:type="dxa" w:w="1440"/>
            <w:shd w:fill="7F1D1D"/>
          </w:tcPr>
          <w:p>
            <w:pPr>
              <w:jc w:val="center"/>
            </w:pPr>
            <w:r>
              <w:rPr>
                <w:rFonts w:ascii="Calibri" w:hAnsi="Calibri"/>
                <w:b/>
                <w:sz w:val="24"/>
              </w:rPr>
              <w:t>20</w:t>
            </w:r>
          </w:p>
        </w:tc>
        <w:tc>
          <w:tcPr>
            <w:tcW w:type="dxa" w:w="1440"/>
            <w:shd w:fill="7F1D1D"/>
          </w:tcPr>
          <w:p>
            <w:pPr>
              <w:jc w:val="center"/>
            </w:pPr>
            <w:r>
              <w:rPr>
                <w:rFonts w:ascii="Calibri" w:hAnsi="Calibri"/>
                <w:b/>
                <w:sz w:val="24"/>
              </w:rPr>
              <w:t>25</w:t>
            </w:r>
          </w:p>
        </w:tc>
      </w:tr>
    </w:tbl>
    <w:p>
      <w:pPr>
        <w:spacing w:after="120"/>
      </w:pPr>
      <w:r>
        <w:rPr>
          <w:rFonts w:ascii="Calibri" w:hAnsi="Calibri"/>
          <w:b w:val="0"/>
          <w:sz w:val="12"/>
        </w:rPr>
      </w:r>
    </w:p>
    <w:p>
      <w:pPr>
        <w:spacing w:after="120"/>
      </w:pPr>
      <w:r>
        <w:rPr>
          <w:rFonts w:ascii="Calibri" w:hAnsi="Calibri"/>
          <w:b/>
          <w:sz w:val="22"/>
        </w:rPr>
        <w:t>Legenda: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10B981"/>
          </w:tcPr>
          <w:p>
            <w:pPr>
              <w:jc w:val="center"/>
            </w:pPr>
            <w:r>
              <w:rPr>
                <w:rFonts w:ascii="Calibri" w:hAnsi="Calibri"/>
                <w:b/>
                <w:sz w:val="20"/>
              </w:rPr>
              <w:t>Laag (1-4)</w:t>
            </w:r>
          </w:p>
        </w:tc>
        <w:tc>
          <w:tcPr>
            <w:tcW w:type="dxa" w:w="2160"/>
            <w:shd w:fill="F59E0B"/>
          </w:tcPr>
          <w:p>
            <w:pPr>
              <w:jc w:val="center"/>
            </w:pPr>
            <w:r>
              <w:rPr>
                <w:rFonts w:ascii="Calibri" w:hAnsi="Calibri"/>
                <w:b/>
                <w:sz w:val="20"/>
              </w:rPr>
              <w:t>Gemiddeld (5-9)</w:t>
            </w:r>
          </w:p>
        </w:tc>
        <w:tc>
          <w:tcPr>
            <w:tcW w:type="dxa" w:w="2160"/>
            <w:shd w:fill="DC2626"/>
          </w:tcPr>
          <w:p>
            <w:pPr>
              <w:jc w:val="center"/>
            </w:pPr>
            <w:r>
              <w:rPr>
                <w:rFonts w:ascii="Calibri" w:hAnsi="Calibri"/>
                <w:b/>
                <w:sz w:val="20"/>
              </w:rPr>
              <w:t>Hoog (10-16)</w:t>
            </w:r>
          </w:p>
        </w:tc>
        <w:tc>
          <w:tcPr>
            <w:tcW w:type="dxa" w:w="2160"/>
            <w:shd w:fill="7F1D1D"/>
          </w:tcPr>
          <w:p>
            <w:pPr>
              <w:jc w:val="center"/>
            </w:pPr>
            <w:r>
              <w:rPr>
                <w:rFonts w:ascii="Calibri" w:hAnsi="Calibri"/>
                <w:b/>
                <w:sz w:val="20"/>
              </w:rPr>
              <w:t>Kritiek (17-25)</w:t>
            </w:r>
          </w:p>
        </w:tc>
      </w:tr>
    </w:tbl>
    <w:p>
      <w:pPr>
        <w:spacing w:after="120"/>
      </w:pPr>
      <w:r>
        <w:rPr>
          <w:rFonts w:ascii="Calibri" w:hAnsi="Calibri"/>
          <w:b w:val="0"/>
          <w:sz w:val="12"/>
        </w:rPr>
      </w:r>
    </w:p>
    <w:p>
      <w:pPr>
        <w:spacing w:after="120"/>
      </w:pPr>
      <w:r>
        <w:rPr>
          <w:rFonts w:ascii="Calibri" w:hAnsi="Calibri"/>
          <w:b/>
          <w:color w:val="003366"/>
          <w:sz w:val="24"/>
        </w:rPr>
        <w:t>4.3  Vereiste actie per scoregebied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Risicogebied</w:t>
            </w:r>
          </w:p>
        </w:tc>
        <w:tc>
          <w:tcPr>
            <w:tcW w:type="dxa" w:w="216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Score</w:t>
            </w:r>
          </w:p>
        </w:tc>
        <w:tc>
          <w:tcPr>
            <w:tcW w:type="dxa" w:w="216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Vereiste actie</w:t>
            </w:r>
          </w:p>
        </w:tc>
        <w:tc>
          <w:tcPr>
            <w:tcW w:type="dxa" w:w="216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Goedkeuringsniveau</w:t>
            </w:r>
          </w:p>
        </w:tc>
      </w:tr>
      <w:tr>
        <w:tc>
          <w:tcPr>
            <w:tcW w:type="dxa" w:w="2160"/>
            <w:shd w:fill="10B981"/>
          </w:tcPr>
          <w:p>
            <w:r/>
            <w:r>
              <w:rPr>
                <w:rFonts w:ascii="Calibri" w:hAnsi="Calibri"/>
                <w:b/>
                <w:color w:val="1F2F37"/>
                <w:sz w:val="20"/>
              </w:rPr>
              <w:t>Laag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1-4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Checklist + Task Risk Analysis (TRA). Wijziging kan doorgang vinden na goedkeuring MoC-coördinator.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MoC-coördinator</w:t>
            </w:r>
          </w:p>
        </w:tc>
      </w:tr>
      <w:tr>
        <w:tc>
          <w:tcPr>
            <w:tcW w:type="dxa" w:w="2160"/>
            <w:shd w:fill="F59E0B"/>
          </w:tcPr>
          <w:p>
            <w:r/>
            <w:r>
              <w:rPr>
                <w:rFonts w:ascii="Calibri" w:hAnsi="Calibri"/>
                <w:b/>
                <w:color w:val="1F2F37"/>
                <w:sz w:val="20"/>
              </w:rPr>
              <w:t>Gemiddeld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5-9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What-If analyse of FMEA. MoC-team beoordeelt. Mitigerende maatregelen vereist voor score &gt;6.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MoC-team</w:t>
            </w:r>
          </w:p>
        </w:tc>
      </w:tr>
      <w:tr>
        <w:tc>
          <w:tcPr>
            <w:tcW w:type="dxa" w:w="2160"/>
            <w:shd w:fill="DC262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Hoog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10-16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HAZOP of FMECA. MoC-team + Directie goedkeuring. Mitigerende maatregelen verplicht.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MoC-team + Directie</w:t>
            </w:r>
          </w:p>
        </w:tc>
      </w:tr>
      <w:tr>
        <w:tc>
          <w:tcPr>
            <w:tcW w:type="dxa" w:w="2160"/>
            <w:shd w:fill="7F1D1D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Kritiek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17-25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QRA + HAZOP. Extern expert verplicht. Directie goedkeuring + externe validatie. ALARP-demonstratie vereist.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Directie + Extern expert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5  Veiligheidsstudie-indeling</w:t>
      </w:r>
    </w:p>
    <w:p>
      <w:pPr>
        <w:spacing w:after="120"/>
      </w:pPr>
      <w:r>
        <w:rPr>
          <w:rFonts w:ascii="Calibri" w:hAnsi="Calibri"/>
          <w:b w:val="0"/>
          <w:sz w:val="22"/>
        </w:rPr>
        <w:t>Op basis van de risicoscore uit de 5×5 matrix wordt het type veiligheidsstudie bepaald. De veiligheidsstudie vormt de kern van Fase 4 van de MoC-procedure (PM_VBS05_02, §3.4). De indeling volgens NEN-EN-IEC 62340 en NPR 7910-1 richtlijnen.[5][6]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Risicoscore</w:t>
            </w:r>
          </w:p>
        </w:tc>
        <w:tc>
          <w:tcPr>
            <w:tcW w:type="dxa" w:w="172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Type veiligheidsstudie</w:t>
            </w:r>
          </w:p>
        </w:tc>
        <w:tc>
          <w:tcPr>
            <w:tcW w:type="dxa" w:w="172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Diepgang</w:t>
            </w:r>
          </w:p>
        </w:tc>
        <w:tc>
          <w:tcPr>
            <w:tcW w:type="dxa" w:w="172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Goedkeuringsniveau</w:t>
            </w:r>
          </w:p>
        </w:tc>
        <w:tc>
          <w:tcPr>
            <w:tcW w:type="dxa" w:w="172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Doorlooptijd indicator</w:t>
            </w:r>
          </w:p>
        </w:tc>
      </w:tr>
      <w:tr>
        <w:tc>
          <w:tcPr>
            <w:tcW w:type="dxa" w:w="1728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Laag (1-4)</w:t>
            </w:r>
          </w:p>
        </w:tc>
        <w:tc>
          <w:tcPr>
            <w:tcW w:type="dxa" w:w="1728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Checklist + Task Risk Analysis (TRA)</w:t>
            </w:r>
          </w:p>
        </w:tc>
        <w:tc>
          <w:tcPr>
            <w:tcW w:type="dxa" w:w="1728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Basis: identificatie van directe gevaren, PPT-maatregelen, werkinstructie-check</w:t>
            </w:r>
          </w:p>
        </w:tc>
        <w:tc>
          <w:tcPr>
            <w:tcW w:type="dxa" w:w="1728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MoC-coördinator</w:t>
            </w:r>
          </w:p>
        </w:tc>
        <w:tc>
          <w:tcPr>
            <w:tcW w:type="dxa" w:w="1728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1-2 werkdagen</w:t>
            </w:r>
          </w:p>
        </w:tc>
      </w:tr>
      <w:tr>
        <w:tc>
          <w:tcPr>
            <w:tcW w:type="dxa" w:w="1728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Gemiddeld (5-9)</w:t>
            </w:r>
          </w:p>
        </w:tc>
        <w:tc>
          <w:tcPr>
            <w:tcW w:type="dxa" w:w="1728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What-If / FMEA</w:t>
            </w:r>
          </w:p>
        </w:tc>
        <w:tc>
          <w:tcPr>
            <w:tcW w:type="dxa" w:w="1728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Gemiddeld: systematische identificatie van faalwijzen, oorzaak-gevolg analyse</w:t>
            </w:r>
          </w:p>
        </w:tc>
        <w:tc>
          <w:tcPr>
            <w:tcW w:type="dxa" w:w="1728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MoC-team</w:t>
            </w:r>
          </w:p>
        </w:tc>
        <w:tc>
          <w:tcPr>
            <w:tcW w:type="dxa" w:w="1728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3-5 werkdagen</w:t>
            </w:r>
          </w:p>
        </w:tc>
      </w:tr>
      <w:tr>
        <w:tc>
          <w:tcPr>
            <w:tcW w:type="dxa" w:w="1728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Hoog (10-16)</w:t>
            </w:r>
          </w:p>
        </w:tc>
        <w:tc>
          <w:tcPr>
            <w:tcW w:type="dxa" w:w="1728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HAZOP / FMECA</w:t>
            </w:r>
          </w:p>
        </w:tc>
        <w:tc>
          <w:tcPr>
            <w:tcW w:type="dxa" w:w="1728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Verdiept: gedetailleerde analyse van afwijkingen, kritische faalmodi met kwantitatieve elementen</w:t>
            </w:r>
          </w:p>
        </w:tc>
        <w:tc>
          <w:tcPr>
            <w:tcW w:type="dxa" w:w="1728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MoC-team + Directie</w:t>
            </w:r>
          </w:p>
        </w:tc>
        <w:tc>
          <w:tcPr>
            <w:tcW w:type="dxa" w:w="1728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1-2 weken</w:t>
            </w:r>
          </w:p>
        </w:tc>
      </w:tr>
      <w:tr>
        <w:tc>
          <w:tcPr>
            <w:tcW w:type="dxa" w:w="1728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Kritiek (17-25)</w:t>
            </w:r>
          </w:p>
        </w:tc>
        <w:tc>
          <w:tcPr>
            <w:tcW w:type="dxa" w:w="1728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QRA + HAZOP</w:t>
            </w:r>
          </w:p>
        </w:tc>
        <w:tc>
          <w:tcPr>
            <w:tcW w:type="dxa" w:w="1728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Maximum: kwantitatieve risicoanalyse (QRA), domeinanalyses, ALARP-demonstratie, externe validatie</w:t>
            </w:r>
          </w:p>
        </w:tc>
        <w:tc>
          <w:tcPr>
            <w:tcW w:type="dxa" w:w="1728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Directie + Extern expert</w:t>
            </w:r>
          </w:p>
        </w:tc>
        <w:tc>
          <w:tcPr>
            <w:tcW w:type="dxa" w:w="1728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2-4 weken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6  Goedkeuringsbevoegdheid Matrix</w:t>
      </w:r>
    </w:p>
    <w:p>
      <w:pPr>
        <w:spacing w:after="120"/>
      </w:pPr>
      <w:r>
        <w:rPr>
          <w:rFonts w:ascii="Calibri" w:hAnsi="Calibri"/>
          <w:b w:val="0"/>
          <w:sz w:val="22"/>
        </w:rPr>
        <w:t>De goedkeuringsbevoegdheid matrix combineert risiconiveau met wijzigingstype om te bepalen wie bevoegd is om een MoC goed te keuren. Legenda: R = MoC-coördinator, T = MoC-team, D = Directie, E = Extern expert.[1][3]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Risiconiveau</w:t>
            </w:r>
          </w:p>
        </w:tc>
        <w:tc>
          <w:tcPr>
            <w:tcW w:type="dxa" w:w="86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Procesparameter</w:t>
            </w:r>
          </w:p>
        </w:tc>
        <w:tc>
          <w:tcPr>
            <w:tcW w:type="dxa" w:w="86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Apparatuur</w:t>
            </w:r>
          </w:p>
        </w:tc>
        <w:tc>
          <w:tcPr>
            <w:tcW w:type="dxa" w:w="86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Proceschemie</w:t>
            </w:r>
          </w:p>
        </w:tc>
        <w:tc>
          <w:tcPr>
            <w:tcW w:type="dxa" w:w="86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Procedure</w:t>
            </w:r>
          </w:p>
        </w:tc>
        <w:tc>
          <w:tcPr>
            <w:tcW w:type="dxa" w:w="86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Organisatorisch</w:t>
            </w:r>
          </w:p>
        </w:tc>
        <w:tc>
          <w:tcPr>
            <w:tcW w:type="dxa" w:w="86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Veiligheidssysteem</w:t>
            </w:r>
          </w:p>
        </w:tc>
        <w:tc>
          <w:tcPr>
            <w:tcW w:type="dxa" w:w="86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Externe factor</w:t>
            </w:r>
          </w:p>
        </w:tc>
        <w:tc>
          <w:tcPr>
            <w:tcW w:type="dxa" w:w="86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Tijdelijke wijziging</w:t>
            </w:r>
          </w:p>
        </w:tc>
        <w:tc>
          <w:tcPr>
            <w:tcW w:type="dxa" w:w="86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Ontwerp/Constructie</w:t>
            </w:r>
          </w:p>
        </w:tc>
      </w:tr>
      <w:tr>
        <w:tc>
          <w:tcPr>
            <w:tcW w:type="dxa" w:w="864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Laag</w:t>
            </w:r>
          </w:p>
        </w:tc>
        <w:tc>
          <w:tcPr>
            <w:tcW w:type="dxa" w:w="864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R</w:t>
            </w:r>
          </w:p>
        </w:tc>
        <w:tc>
          <w:tcPr>
            <w:tcW w:type="dxa" w:w="864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R</w:t>
            </w:r>
          </w:p>
        </w:tc>
        <w:tc>
          <w:tcPr>
            <w:tcW w:type="dxa" w:w="864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T</w:t>
            </w:r>
          </w:p>
        </w:tc>
        <w:tc>
          <w:tcPr>
            <w:tcW w:type="dxa" w:w="864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R</w:t>
            </w:r>
          </w:p>
        </w:tc>
        <w:tc>
          <w:tcPr>
            <w:tcW w:type="dxa" w:w="864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R</w:t>
            </w:r>
          </w:p>
        </w:tc>
        <w:tc>
          <w:tcPr>
            <w:tcW w:type="dxa" w:w="864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T</w:t>
            </w:r>
          </w:p>
        </w:tc>
        <w:tc>
          <w:tcPr>
            <w:tcW w:type="dxa" w:w="864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R</w:t>
            </w:r>
          </w:p>
        </w:tc>
        <w:tc>
          <w:tcPr>
            <w:tcW w:type="dxa" w:w="864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R</w:t>
            </w:r>
          </w:p>
        </w:tc>
        <w:tc>
          <w:tcPr>
            <w:tcW w:type="dxa" w:w="864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T</w:t>
            </w:r>
          </w:p>
        </w:tc>
      </w:tr>
      <w:tr>
        <w:tc>
          <w:tcPr>
            <w:tcW w:type="dxa" w:w="864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Gemiddeld</w:t>
            </w:r>
          </w:p>
        </w:tc>
        <w:tc>
          <w:tcPr>
            <w:tcW w:type="dxa" w:w="864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T</w:t>
            </w:r>
          </w:p>
        </w:tc>
        <w:tc>
          <w:tcPr>
            <w:tcW w:type="dxa" w:w="864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T</w:t>
            </w:r>
          </w:p>
        </w:tc>
        <w:tc>
          <w:tcPr>
            <w:tcW w:type="dxa" w:w="864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T</w:t>
            </w:r>
          </w:p>
        </w:tc>
        <w:tc>
          <w:tcPr>
            <w:tcW w:type="dxa" w:w="864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R</w:t>
            </w:r>
          </w:p>
        </w:tc>
        <w:tc>
          <w:tcPr>
            <w:tcW w:type="dxa" w:w="864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T</w:t>
            </w:r>
          </w:p>
        </w:tc>
        <w:tc>
          <w:tcPr>
            <w:tcW w:type="dxa" w:w="864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T</w:t>
            </w:r>
          </w:p>
        </w:tc>
        <w:tc>
          <w:tcPr>
            <w:tcW w:type="dxa" w:w="864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T</w:t>
            </w:r>
          </w:p>
        </w:tc>
        <w:tc>
          <w:tcPr>
            <w:tcW w:type="dxa" w:w="864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T</w:t>
            </w:r>
          </w:p>
        </w:tc>
        <w:tc>
          <w:tcPr>
            <w:tcW w:type="dxa" w:w="864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D</w:t>
            </w:r>
          </w:p>
        </w:tc>
      </w:tr>
      <w:tr>
        <w:tc>
          <w:tcPr>
            <w:tcW w:type="dxa" w:w="864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Hoog</w:t>
            </w:r>
          </w:p>
        </w:tc>
        <w:tc>
          <w:tcPr>
            <w:tcW w:type="dxa" w:w="864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T</w:t>
            </w:r>
          </w:p>
        </w:tc>
        <w:tc>
          <w:tcPr>
            <w:tcW w:type="dxa" w:w="864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D</w:t>
            </w:r>
          </w:p>
        </w:tc>
        <w:tc>
          <w:tcPr>
            <w:tcW w:type="dxa" w:w="864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D</w:t>
            </w:r>
          </w:p>
        </w:tc>
        <w:tc>
          <w:tcPr>
            <w:tcW w:type="dxa" w:w="864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T</w:t>
            </w:r>
          </w:p>
        </w:tc>
        <w:tc>
          <w:tcPr>
            <w:tcW w:type="dxa" w:w="864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D</w:t>
            </w:r>
          </w:p>
        </w:tc>
        <w:tc>
          <w:tcPr>
            <w:tcW w:type="dxa" w:w="864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D</w:t>
            </w:r>
          </w:p>
        </w:tc>
        <w:tc>
          <w:tcPr>
            <w:tcW w:type="dxa" w:w="864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D</w:t>
            </w:r>
          </w:p>
        </w:tc>
        <w:tc>
          <w:tcPr>
            <w:tcW w:type="dxa" w:w="864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D</w:t>
            </w:r>
          </w:p>
        </w:tc>
        <w:tc>
          <w:tcPr>
            <w:tcW w:type="dxa" w:w="864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D</w:t>
            </w:r>
          </w:p>
        </w:tc>
      </w:tr>
      <w:tr>
        <w:tc>
          <w:tcPr>
            <w:tcW w:type="dxa" w:w="864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Kritiek</w:t>
            </w:r>
          </w:p>
        </w:tc>
        <w:tc>
          <w:tcPr>
            <w:tcW w:type="dxa" w:w="864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D</w:t>
            </w:r>
          </w:p>
        </w:tc>
        <w:tc>
          <w:tcPr>
            <w:tcW w:type="dxa" w:w="864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D</w:t>
            </w:r>
          </w:p>
        </w:tc>
        <w:tc>
          <w:tcPr>
            <w:tcW w:type="dxa" w:w="864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E</w:t>
            </w:r>
          </w:p>
        </w:tc>
        <w:tc>
          <w:tcPr>
            <w:tcW w:type="dxa" w:w="864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D</w:t>
            </w:r>
          </w:p>
        </w:tc>
        <w:tc>
          <w:tcPr>
            <w:tcW w:type="dxa" w:w="864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D</w:t>
            </w:r>
          </w:p>
        </w:tc>
        <w:tc>
          <w:tcPr>
            <w:tcW w:type="dxa" w:w="864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E</w:t>
            </w:r>
          </w:p>
        </w:tc>
        <w:tc>
          <w:tcPr>
            <w:tcW w:type="dxa" w:w="864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D</w:t>
            </w:r>
          </w:p>
        </w:tc>
        <w:tc>
          <w:tcPr>
            <w:tcW w:type="dxa" w:w="864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D</w:t>
            </w:r>
          </w:p>
        </w:tc>
        <w:tc>
          <w:tcPr>
            <w:tcW w:type="dxa" w:w="864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E</w:t>
            </w:r>
          </w:p>
        </w:tc>
      </w:tr>
    </w:tbl>
    <w:p>
      <w:pPr>
        <w:spacing w:after="120"/>
      </w:pPr>
      <w:r>
        <w:rPr>
          <w:rFonts w:ascii="Calibri" w:hAnsi="Calibri"/>
          <w:b w:val="0"/>
          <w:sz w:val="12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E5E7EB"/>
          </w:tcPr>
          <w:p>
            <w:r>
              <w:rPr>
                <w:rFonts w:ascii="Calibri" w:hAnsi="Calibri"/>
                <w:b/>
                <w:sz w:val="18"/>
              </w:rPr>
              <w:t>R = MoC-coördinator</w:t>
            </w:r>
          </w:p>
        </w:tc>
        <w:tc>
          <w:tcPr>
            <w:tcW w:type="dxa" w:w="2160"/>
            <w:shd w:fill="E5E7EB"/>
          </w:tcPr>
          <w:p>
            <w:r>
              <w:rPr>
                <w:rFonts w:ascii="Calibri" w:hAnsi="Calibri"/>
                <w:b/>
                <w:sz w:val="18"/>
              </w:rPr>
              <w:t>T = MoC-team</w:t>
            </w:r>
          </w:p>
        </w:tc>
        <w:tc>
          <w:tcPr>
            <w:tcW w:type="dxa" w:w="2160"/>
            <w:shd w:fill="E5E7EB"/>
          </w:tcPr>
          <w:p>
            <w:r>
              <w:rPr>
                <w:rFonts w:ascii="Calibri" w:hAnsi="Calibri"/>
                <w:b/>
                <w:sz w:val="18"/>
              </w:rPr>
              <w:t>D = Directie</w:t>
            </w:r>
          </w:p>
        </w:tc>
        <w:tc>
          <w:tcPr>
            <w:tcW w:type="dxa" w:w="2160"/>
            <w:shd w:fill="E5E7EB"/>
          </w:tcPr>
          <w:p>
            <w:r>
              <w:rPr>
                <w:rFonts w:ascii="Calibri" w:hAnsi="Calibri"/>
                <w:b/>
                <w:sz w:val="18"/>
              </w:rPr>
              <w:t>E = Extern expert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7  Gebruiksaanwijzing XLSX Register</w:t>
      </w:r>
    </w:p>
    <w:p>
      <w:pPr>
        <w:spacing w:after="120"/>
      </w:pPr>
      <w:r>
        <w:rPr>
          <w:rFonts w:ascii="Calibri" w:hAnsi="Calibri"/>
          <w:b w:val="0"/>
          <w:sz w:val="22"/>
        </w:rPr>
        <w:t>Het bijbehorende Excel-bestand (PM_VBS05_03_Classificatie_Risicomatrix_Register_v1.0.xlsx) bevat vier werkbladen die als werkinstrument gebruikt worden bij elke MoC-aanvraag.</w:t>
      </w:r>
    </w:p>
    <w:p>
      <w:pPr>
        <w:spacing w:after="120"/>
      </w:pPr>
      <w:r>
        <w:rPr>
          <w:rFonts w:ascii="Calibri" w:hAnsi="Calibri"/>
          <w:b/>
          <w:color w:val="003366"/>
          <w:sz w:val="24"/>
        </w:rPr>
        <w:t>7.1  Werkbladen</w:t>
      </w:r>
    </w:p>
    <w:p>
      <w:r>
        <w:rPr>
          <w:rFonts w:ascii="Calibri" w:hAnsi="Calibri"/>
          <w:b/>
          <w:sz w:val="22"/>
        </w:rPr>
        <w:t xml:space="preserve">Beslisboom: </w:t>
      </w:r>
      <w:r>
        <w:rPr>
          <w:rFonts w:ascii="Calibri" w:hAnsi="Calibri"/>
          <w:sz w:val="22"/>
        </w:rPr>
        <w:t>Doorloop de vijf vragen met Ja/Nee antwoorden. Het werkblad toont automatisch het resultaat: Geen MoC, RiF, Standaard MoC, Spoed-MoC of MoC Hoog.</w:t>
      </w:r>
    </w:p>
    <w:p>
      <w:r>
        <w:rPr>
          <w:rFonts w:ascii="Calibri" w:hAnsi="Calibri"/>
          <w:b/>
          <w:sz w:val="22"/>
        </w:rPr>
        <w:t xml:space="preserve">Risicomatrix 5x5: </w:t>
      </w:r>
      <w:r>
        <w:rPr>
          <w:rFonts w:ascii="Calibri" w:hAnsi="Calibri"/>
          <w:sz w:val="22"/>
        </w:rPr>
        <w:t>Referentiematrix met kleurcodering. Bepaal likelihood (1-5) en impact (1-5) en lees de score af.</w:t>
      </w:r>
    </w:p>
    <w:p>
      <w:r>
        <w:rPr>
          <w:rFonts w:ascii="Calibri" w:hAnsi="Calibri"/>
          <w:b/>
          <w:sz w:val="22"/>
        </w:rPr>
        <w:t xml:space="preserve">Classificatietabel: </w:t>
      </w:r>
      <w:r>
        <w:rPr>
          <w:rFonts w:ascii="Calibri" w:hAnsi="Calibri"/>
          <w:sz w:val="22"/>
        </w:rPr>
        <w:t>Overzicht van 9 wijzigingstypen met standaard risiconiveau, vereiste veiligheidsstudie en goedkeuring.</w:t>
      </w:r>
    </w:p>
    <w:p>
      <w:r>
        <w:rPr>
          <w:rFonts w:ascii="Calibri" w:hAnsi="Calibri"/>
          <w:b/>
          <w:sz w:val="22"/>
        </w:rPr>
        <w:t xml:space="preserve">Goedkeuringsmatrix: </w:t>
      </w:r>
      <w:r>
        <w:rPr>
          <w:rFonts w:ascii="Calibri" w:hAnsi="Calibri"/>
          <w:sz w:val="22"/>
        </w:rPr>
        <w:t>Kruistabel van risiconiveau × wijzigingstype met de bevoegde goedkeurder(s).</w:t>
      </w:r>
    </w:p>
    <w:p>
      <w:pPr>
        <w:spacing w:after="120"/>
      </w:pPr>
      <w:r>
        <w:rPr>
          <w:rFonts w:ascii="Calibri" w:hAnsi="Calibri"/>
          <w:b w:val="0"/>
          <w:sz w:val="8"/>
        </w:rPr>
      </w:r>
    </w:p>
    <w:p>
      <w:pPr>
        <w:spacing w:after="120"/>
      </w:pPr>
      <w:r>
        <w:rPr>
          <w:rFonts w:ascii="Calibri" w:hAnsi="Calibri"/>
          <w:b/>
          <w:color w:val="003366"/>
          <w:sz w:val="24"/>
        </w:rPr>
        <w:t>7.2  Workflow</w:t>
      </w:r>
    </w:p>
    <w:p>
      <w:pPr>
        <w:spacing w:after="60"/>
      </w:pPr>
      <w:r>
        <w:rPr>
          <w:rFonts w:ascii="Calibri" w:hAnsi="Calibri"/>
          <w:b w:val="0"/>
          <w:sz w:val="22"/>
        </w:rPr>
        <w:t>Stap 1: Initiator vult MoC-aanvraagformulier in (PM_VBS05_02, Fase 1).</w:t>
      </w:r>
    </w:p>
    <w:p>
      <w:pPr>
        <w:spacing w:after="60"/>
      </w:pPr>
      <w:r>
        <w:rPr>
          <w:rFonts w:ascii="Calibri" w:hAnsi="Calibri"/>
          <w:b w:val="0"/>
          <w:sz w:val="22"/>
        </w:rPr>
        <w:t>Stap 2: MoC-coördinator doorloopt de Beslisboom (Sheet 1) om MoC-waardigheid te bepalen.</w:t>
      </w:r>
    </w:p>
    <w:p>
      <w:pPr>
        <w:spacing w:after="60"/>
      </w:pPr>
      <w:r>
        <w:rPr>
          <w:rFonts w:ascii="Calibri" w:hAnsi="Calibri"/>
          <w:b w:val="0"/>
          <w:sz w:val="22"/>
        </w:rPr>
        <w:t>Stap 3: Indien MoC vereist: bepaal wijzigingstype via Classificatietabel (Sheet 3).</w:t>
      </w:r>
    </w:p>
    <w:p>
      <w:pPr>
        <w:spacing w:after="60"/>
      </w:pPr>
      <w:r>
        <w:rPr>
          <w:rFonts w:ascii="Calibri" w:hAnsi="Calibri"/>
          <w:b w:val="0"/>
          <w:sz w:val="22"/>
        </w:rPr>
        <w:t>Stap 4: Beoordeel likelihood en impact → lees risicoscore af uit Risicomatrix (Sheet 2).</w:t>
      </w:r>
    </w:p>
    <w:p>
      <w:pPr>
        <w:spacing w:after="60"/>
      </w:pPr>
      <w:r>
        <w:rPr>
          <w:rFonts w:ascii="Calibri" w:hAnsi="Calibri"/>
          <w:b w:val="0"/>
          <w:sz w:val="22"/>
        </w:rPr>
        <w:t>Stap 5: Raadpleeg Goedkeuringsmatrix (Sheet 4) om de bevoegde goedkeurder(s) te bepalen.</w:t>
      </w:r>
    </w:p>
    <w:p>
      <w:pPr>
        <w:spacing w:after="60"/>
      </w:pPr>
      <w:r>
        <w:rPr>
          <w:rFonts w:ascii="Calibri" w:hAnsi="Calibri"/>
          <w:b w:val="0"/>
          <w:sz w:val="22"/>
        </w:rPr>
        <w:t>Stap 6: Documenteer de classificatie en risicoscore in het MoC-dossier.</w:t>
      </w:r>
    </w:p>
    <w:p>
      <w:pPr>
        <w:spacing w:after="60"/>
      </w:pPr>
      <w:r>
        <w:rPr>
          <w:rFonts w:ascii="Calibri" w:hAnsi="Calibri"/>
          <w:b w:val="0"/>
          <w:sz w:val="22"/>
        </w:rPr>
        <w:t>Stap 7: Start de vereiste veiligheidsstudie conform de indeling in hoofdstuk 5 van dit document.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Bronnenlijst</w:t>
      </w:r>
    </w:p>
    <w:p>
      <w:pPr>
        <w:spacing w:after="80"/>
      </w:pPr>
      <w:r>
        <w:rPr>
          <w:rFonts w:ascii="Calibri" w:hAnsi="Calibri"/>
          <w:b w:val="0"/>
          <w:sz w:val="20"/>
        </w:rPr>
        <w:t>[1] Seveso III Richtlijn 2012/18/EU — Artikel 12: Veiligheidsbeheerssysteem, Element IV: Management van verandering.</w:t>
      </w:r>
    </w:p>
    <w:p>
      <w:pPr>
        <w:spacing w:after="80"/>
      </w:pPr>
      <w:r>
        <w:rPr>
          <w:rFonts w:ascii="Calibri" w:hAnsi="Calibri"/>
          <w:b w:val="0"/>
          <w:sz w:val="20"/>
        </w:rPr>
        <w:t>[2] BRZO 1999 (Besluit risico's zware ongevallen) — Artikel 5, lid 1 onderdeel d: systeem voor veiligheidsbeheer.</w:t>
      </w:r>
    </w:p>
    <w:p>
      <w:pPr>
        <w:spacing w:after="80"/>
      </w:pPr>
      <w:r>
        <w:rPr>
          <w:rFonts w:ascii="Calibri" w:hAnsi="Calibri"/>
          <w:b w:val="0"/>
          <w:sz w:val="20"/>
        </w:rPr>
        <w:t>[3] BSI PAS 99:2006 — Specification of common management system requirements as a framework for integration.</w:t>
      </w:r>
    </w:p>
    <w:p>
      <w:pPr>
        <w:spacing w:after="80"/>
      </w:pPr>
      <w:r>
        <w:rPr>
          <w:rFonts w:ascii="Calibri" w:hAnsi="Calibri"/>
          <w:b w:val="0"/>
          <w:sz w:val="20"/>
        </w:rPr>
        <w:t>[4] NEN-EN-IEC 62340 — Kernenergie — Instrumentatie en regeling — Aspecten van硬件 fouttolerantie (HFT).</w:t>
      </w:r>
    </w:p>
    <w:p>
      <w:pPr>
        <w:spacing w:after="80"/>
      </w:pPr>
      <w:r>
        <w:rPr>
          <w:rFonts w:ascii="Calibri" w:hAnsi="Calibri"/>
          <w:b w:val="0"/>
          <w:sz w:val="20"/>
        </w:rPr>
        <w:t>[5] NPR 7910-1:2020 — Risicoanalyse voor procesveiligheid — Deel 1: Algemene richtlijnen.</w:t>
      </w:r>
    </w:p>
    <w:p>
      <w:pPr>
        <w:spacing w:after="80"/>
      </w:pPr>
      <w:r>
        <w:rPr>
          <w:rFonts w:ascii="Calibri" w:hAnsi="Calibri"/>
          <w:b w:val="0"/>
          <w:sz w:val="20"/>
        </w:rPr>
        <w:t>[6] IEC 61882:2016 — Hazard and operability studies (HAZOP studies) — Application guide.</w:t>
      </w:r>
    </w:p>
    <w:p>
      <w:pPr>
        <w:spacing w:after="80"/>
      </w:pPr>
      <w:r>
        <w:rPr>
          <w:rFonts w:ascii="Calibri" w:hAnsi="Calibri"/>
          <w:b w:val="0"/>
          <w:sz w:val="20"/>
        </w:rPr>
        <w:t>[7] ISO 14971:2019 — Medical devices — Application of risk management to medical devices (risicomatrix referentie).</w:t>
      </w:r>
    </w:p>
    <w:p>
      <w:pPr>
        <w:spacing w:after="80"/>
      </w:pPr>
      <w:r>
        <w:rPr>
          <w:rFonts w:ascii="Calibri" w:hAnsi="Calibri"/>
          <w:b w:val="0"/>
          <w:sz w:val="20"/>
        </w:rPr>
        <w:t>[8] COMAH Guidance — UK Health and Safety Executive, HSG 260: A guide to the management of change.</w:t>
      </w:r>
    </w:p>
    <w:p>
      <w:pPr>
        <w:pStyle w:val="Heading1"/>
      </w:pPr>
      <w:r>
        <w:rPr>
          <w:rFonts w:ascii="Calibri" w:hAnsi="Calibri"/>
          <w:color w:val="003366"/>
        </w:rPr>
        <w:t>TierVerify Log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172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172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172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Verificatie</w:t>
            </w:r>
          </w:p>
        </w:tc>
        <w:tc>
          <w:tcPr>
            <w:tcW w:type="dxa" w:w="172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Opmerking</w:t>
            </w:r>
          </w:p>
        </w:tc>
      </w:tr>
      <w:tr>
        <w:tc>
          <w:tcPr>
            <w:tcW w:type="dxa" w:w="1728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Seveso III Art. 12 compliance</w:t>
            </w:r>
          </w:p>
        </w:tc>
        <w:tc>
          <w:tcPr>
            <w:tcW w:type="dxa" w:w="1728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2012/18/EU</w:t>
            </w:r>
          </w:p>
        </w:tc>
        <w:tc>
          <w:tcPr>
            <w:tcW w:type="dxa" w:w="1728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✓ Voldaan</w:t>
            </w:r>
          </w:p>
        </w:tc>
        <w:tc>
          <w:tcPr>
            <w:tcW w:type="dxa" w:w="1728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Bron [1]</w:t>
            </w:r>
          </w:p>
        </w:tc>
        <w:tc>
          <w:tcPr>
            <w:tcW w:type="dxa" w:w="1728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Element IV volledig afgedekt</w:t>
            </w:r>
          </w:p>
        </w:tc>
      </w:tr>
      <w:tr>
        <w:tc>
          <w:tcPr>
            <w:tcW w:type="dxa" w:w="1728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BRZO 1999 Art. 5 compliance</w:t>
            </w:r>
          </w:p>
        </w:tc>
        <w:tc>
          <w:tcPr>
            <w:tcW w:type="dxa" w:w="1728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BRZO 1999</w:t>
            </w:r>
          </w:p>
        </w:tc>
        <w:tc>
          <w:tcPr>
            <w:tcW w:type="dxa" w:w="1728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✓ Voldaan</w:t>
            </w:r>
          </w:p>
        </w:tc>
        <w:tc>
          <w:tcPr>
            <w:tcW w:type="dxa" w:w="1728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Bron [2]</w:t>
            </w:r>
          </w:p>
        </w:tc>
        <w:tc>
          <w:tcPr>
            <w:tcW w:type="dxa" w:w="1728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VBS Element 5 = BRZO Element IV</w:t>
            </w:r>
          </w:p>
        </w:tc>
      </w:tr>
      <w:tr>
        <w:tc>
          <w:tcPr>
            <w:tcW w:type="dxa" w:w="1728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Beslisboom reproduceerbaarheid</w:t>
            </w:r>
          </w:p>
        </w:tc>
        <w:tc>
          <w:tcPr>
            <w:tcW w:type="dxa" w:w="1728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HSG 260 / PAS 99</w:t>
            </w:r>
          </w:p>
        </w:tc>
        <w:tc>
          <w:tcPr>
            <w:tcW w:type="dxa" w:w="1728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✓ Voldaan</w:t>
            </w:r>
          </w:p>
        </w:tc>
        <w:tc>
          <w:tcPr>
            <w:tcW w:type="dxa" w:w="1728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Bron [3][8]</w:t>
            </w:r>
          </w:p>
        </w:tc>
        <w:tc>
          <w:tcPr>
            <w:tcW w:type="dxa" w:w="1728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5 beslispunten, objectief</w:t>
            </w:r>
          </w:p>
        </w:tc>
      </w:tr>
      <w:tr>
        <w:tc>
          <w:tcPr>
            <w:tcW w:type="dxa" w:w="1728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Risicomatrix 5×5 conformiteit</w:t>
            </w:r>
          </w:p>
        </w:tc>
        <w:tc>
          <w:tcPr>
            <w:tcW w:type="dxa" w:w="1728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NPR 7910-1 / ISO 14971</w:t>
            </w:r>
          </w:p>
        </w:tc>
        <w:tc>
          <w:tcPr>
            <w:tcW w:type="dxa" w:w="1728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✓ Voldaan</w:t>
            </w:r>
          </w:p>
        </w:tc>
        <w:tc>
          <w:tcPr>
            <w:tcW w:type="dxa" w:w="1728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Bron [5][7]</w:t>
            </w:r>
          </w:p>
        </w:tc>
        <w:tc>
          <w:tcPr>
            <w:tcW w:type="dxa" w:w="1728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4 gebieden, kleurcodering conform</w:t>
            </w:r>
          </w:p>
        </w:tc>
      </w:tr>
      <w:tr>
        <w:tc>
          <w:tcPr>
            <w:tcW w:type="dxa" w:w="1728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Veiligheidsstudie-indeling</w:t>
            </w:r>
          </w:p>
        </w:tc>
        <w:tc>
          <w:tcPr>
            <w:tcW w:type="dxa" w:w="1728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IEC 61882 / NPR 7910-1</w:t>
            </w:r>
          </w:p>
        </w:tc>
        <w:tc>
          <w:tcPr>
            <w:tcW w:type="dxa" w:w="1728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✓ Voldaan</w:t>
            </w:r>
          </w:p>
        </w:tc>
        <w:tc>
          <w:tcPr>
            <w:tcW w:type="dxa" w:w="1728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Bron [5][6]</w:t>
            </w:r>
          </w:p>
        </w:tc>
        <w:tc>
          <w:tcPr>
            <w:tcW w:type="dxa" w:w="1728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4 niveaus, opgeschaald</w:t>
            </w:r>
          </w:p>
        </w:tc>
      </w:tr>
      <w:tr>
        <w:tc>
          <w:tcPr>
            <w:tcW w:type="dxa" w:w="1728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Goedkeuringsbevoegdheid</w:t>
            </w:r>
          </w:p>
        </w:tc>
        <w:tc>
          <w:tcPr>
            <w:tcW w:type="dxa" w:w="1728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Seveso III / BRZO</w:t>
            </w:r>
          </w:p>
        </w:tc>
        <w:tc>
          <w:tcPr>
            <w:tcW w:type="dxa" w:w="1728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✓ Voldaan</w:t>
            </w:r>
          </w:p>
        </w:tc>
        <w:tc>
          <w:tcPr>
            <w:tcW w:type="dxa" w:w="1728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Bron [1][2]</w:t>
            </w:r>
          </w:p>
        </w:tc>
        <w:tc>
          <w:tcPr>
            <w:tcW w:type="dxa" w:w="1728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Scheiding functies gewaarborgd</w:t>
            </w:r>
          </w:p>
        </w:tc>
      </w:tr>
      <w:tr>
        <w:tc>
          <w:tcPr>
            <w:tcW w:type="dxa" w:w="1728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JvG branding toepassing</w:t>
            </w:r>
          </w:p>
        </w:tc>
        <w:tc>
          <w:tcPr>
            <w:tcW w:type="dxa" w:w="1728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STYLEGUIDE §8</w:t>
            </w:r>
          </w:p>
        </w:tc>
        <w:tc>
          <w:tcPr>
            <w:tcW w:type="dxa" w:w="1728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✓ Voldaan</w:t>
            </w:r>
          </w:p>
        </w:tc>
        <w:tc>
          <w:tcPr>
            <w:tcW w:type="dxa" w:w="1728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Logo + kleuren</w:t>
            </w:r>
          </w:p>
        </w:tc>
        <w:tc>
          <w:tcPr>
            <w:tcW w:type="dxa" w:w="1728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Calibri, #003366, footer aanwezig</w:t>
            </w:r>
          </w:p>
        </w:tc>
      </w:tr>
      <w:tr>
        <w:tc>
          <w:tcPr>
            <w:tcW w:type="dxa" w:w="1728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Documentheader conformiteit</w:t>
            </w:r>
          </w:p>
        </w:tc>
        <w:tc>
          <w:tcPr>
            <w:tcW w:type="dxa" w:w="1728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STYLEGUIDE §2.1</w:t>
            </w:r>
          </w:p>
        </w:tc>
        <w:tc>
          <w:tcPr>
            <w:tcW w:type="dxa" w:w="1728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✓ Voldaan</w:t>
            </w:r>
          </w:p>
        </w:tc>
        <w:tc>
          <w:tcPr>
            <w:tcW w:type="dxa" w:w="1728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Metadata aanwezig</w:t>
            </w:r>
          </w:p>
        </w:tc>
        <w:tc>
          <w:tcPr>
            <w:tcW w:type="dxa" w:w="1728"/>
            <w:shd w:fill="F3F4F6"/>
            <w:tcBorders>
              <w:top w:val="single" w:sz="4" w:space="0" w:color="E5E7EB"/>
              <w:bottom w:val="single" w:sz="4" w:space="0" w:color="E5E7EB"/>
              <w:left w:val="single" w:sz="4" w:space="0" w:color="E5E7EB"/>
              <w:right w:val="single" w:sz="4" w:space="0" w:color="E5E7EB"/>
            </w:tcBorders>
          </w:tcPr>
          <w:p>
            <w:r/>
            <w:r>
              <w:rPr>
                <w:rFonts w:ascii="Calibri" w:hAnsi="Calibri"/>
                <w:color w:val="1F2F37"/>
                <w:sz w:val="20"/>
              </w:rPr>
              <w:t>Code, versie, datum, status</w:t>
            </w:r>
          </w:p>
        </w:tc>
      </w:tr>
    </w:tbl>
    <w:p>
      <w:pPr>
        <w:spacing w:after="120"/>
      </w:pPr>
      <w:r>
        <w:rPr>
          <w:rFonts w:ascii="Calibri" w:hAnsi="Calibri"/>
          <w:b w:val="0"/>
          <w:sz w:val="16"/>
        </w:rPr>
      </w:r>
    </w:p>
    <w:p>
      <w:pPr>
        <w:spacing w:after="120"/>
      </w:pPr>
      <w:r>
        <w:rPr>
          <w:rFonts w:ascii="Calibri" w:hAnsi="Calibri"/>
          <w:b/>
          <w:color w:val="003366"/>
          <w:sz w:val="20"/>
        </w:rPr>
        <w:t>TierVerify afgerond: 29-04-2026 — Alle controles voldaan.</w:t>
      </w:r>
    </w:p>
    <w:sectPr w:rsidR="00FC693F" w:rsidRPr="0006063C" w:rsidSect="00034616"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9CA3AF"/>
        <w:sz w:val="16"/>
      </w:rPr>
      <w:t>JvG Consultancy | Safety • Governance • Advisory | ©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F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