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03366"/>
          <w:sz w:val="28"/>
        </w:rPr>
        <w:t>JvG Consultancy</w:t>
      </w:r>
    </w:p>
    <w:p>
      <w:pPr>
        <w:jc w:val="center"/>
      </w:pPr>
      <w:r>
        <w:rPr>
          <w:rFonts w:ascii="Calibri" w:hAnsi="Calibri"/>
          <w:b w:val="0"/>
          <w:color w:val="003366"/>
          <w:sz w:val="22"/>
        </w:rPr>
        <w:t>Safety • Governance • Advisory</w:t>
      </w:r>
    </w:p>
    <w:p/>
    <w:p>
      <w:pPr>
        <w:jc w:val="center"/>
      </w:pPr>
      <w:r>
        <w:rPr>
          <w:rFonts w:ascii="Calibri" w:hAnsi="Calibri"/>
          <w:b/>
          <w:color w:val="003366"/>
          <w:sz w:val="44"/>
        </w:rPr>
        <w:t>Management of Change</w:t>
      </w:r>
    </w:p>
    <w:p>
      <w:pPr>
        <w:jc w:val="center"/>
      </w:pPr>
      <w:r>
        <w:rPr>
          <w:rFonts w:ascii="Calibri" w:hAnsi="Calibri"/>
          <w:b/>
          <w:color w:val="003366"/>
          <w:sz w:val="36"/>
        </w:rPr>
        <w:t>MoC Procedure</w:t>
      </w:r>
    </w:p>
    <w:p>
      <w:pPr>
        <w:jc w:val="center"/>
      </w:pPr>
      <w:r>
        <w:rPr>
          <w:rFonts w:ascii="Calibri" w:hAnsi="Calibri"/>
          <w:b w:val="0"/>
          <w:color w:val="003366"/>
          <w:sz w:val="26"/>
        </w:rPr>
        <w:t>BRZO Element IV — VBS Element 5</w:t>
      </w:r>
    </w:p>
    <w:p>
      <w:pPr>
        <w:jc w:val="center"/>
      </w:pPr>
      <w:r>
        <w:rPr>
          <w:rFonts w:ascii="Calibri" w:hAnsi="Calibri"/>
          <w:b/>
          <w:color w:val="1F2937"/>
          <w:sz w:val="28"/>
        </w:rPr>
        <w:t>Phoenix Metals</w:t>
      </w:r>
    </w:p>
    <w:p/>
    <w:p>
      <w:pPr>
        <w:jc w:val="center"/>
      </w:pPr>
      <w:r>
        <w:rPr>
          <w:rFonts w:ascii="Calibri" w:hAnsi="Calibri"/>
          <w:b w:val="0"/>
          <w:sz w:val="22"/>
        </w:rPr>
        <w:t>Documentcode: PM_VBS05_02</w:t>
      </w:r>
    </w:p>
    <w:p>
      <w:pPr>
        <w:jc w:val="center"/>
      </w:pPr>
      <w:r>
        <w:rPr>
          <w:rFonts w:ascii="Calibri" w:hAnsi="Calibri"/>
          <w:b w:val="0"/>
          <w:sz w:val="22"/>
        </w:rPr>
        <w:t>Versie: 1.0</w:t>
      </w:r>
    </w:p>
    <w:p>
      <w:pPr>
        <w:jc w:val="center"/>
      </w:pPr>
      <w:r>
        <w:rPr>
          <w:rFonts w:ascii="Calibri" w:hAnsi="Calibri"/>
          <w:b w:val="0"/>
          <w:sz w:val="22"/>
        </w:rPr>
        <w:t>Datum: 29-04-2026</w:t>
      </w:r>
    </w:p>
    <w:p>
      <w:pPr>
        <w:jc w:val="center"/>
      </w:pPr>
      <w:r>
        <w:rPr>
          <w:rFonts w:ascii="Calibri" w:hAnsi="Calibri"/>
          <w:b w:val="0"/>
          <w:sz w:val="22"/>
        </w:rPr>
        <w:t>Status: Definitief</w:t>
      </w:r>
    </w:p>
    <w:p>
      <w:pPr>
        <w:jc w:val="center"/>
      </w:pPr>
      <w:r>
        <w:rPr>
          <w:rFonts w:ascii="Calibri" w:hAnsi="Calibri"/>
          <w:b w:val="0"/>
          <w:sz w:val="22"/>
        </w:rPr>
        <w:t>Classificatie: Vertrouwelijk</w:t>
      </w:r>
    </w:p>
    <w:p>
      <w:r>
        <w:br w:type="page"/>
      </w:r>
    </w:p>
    <w:p>
      <w:pPr>
        <w:pStyle w:val="Heading1"/>
      </w:pPr>
      <w:r>
        <w:t>Documentbeheersing</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003366"/>
          </w:tcPr>
          <w:p>
            <w:pPr>
              <w:jc w:val="center"/>
            </w:pPr>
            <w:r/>
            <w:r>
              <w:rPr>
                <w:rFonts w:ascii="Calibri" w:hAnsi="Calibri"/>
                <w:b/>
                <w:color w:val="FFFFFF"/>
                <w:sz w:val="20"/>
              </w:rPr>
              <w:t>Versie</w:t>
            </w:r>
          </w:p>
        </w:tc>
        <w:tc>
          <w:tcPr>
            <w:tcW w:type="dxa" w:w="1814"/>
            <w:shd w:fill="003366"/>
          </w:tcPr>
          <w:p>
            <w:pPr>
              <w:jc w:val="center"/>
            </w:pPr>
            <w:r/>
            <w:r>
              <w:rPr>
                <w:rFonts w:ascii="Calibri" w:hAnsi="Calibri"/>
                <w:b/>
                <w:color w:val="FFFFFF"/>
                <w:sz w:val="20"/>
              </w:rPr>
              <w:t>Datum</w:t>
            </w:r>
          </w:p>
        </w:tc>
        <w:tc>
          <w:tcPr>
            <w:tcW w:type="dxa" w:w="1814"/>
            <w:shd w:fill="003366"/>
          </w:tcPr>
          <w:p>
            <w:pPr>
              <w:jc w:val="center"/>
            </w:pPr>
            <w:r/>
            <w:r>
              <w:rPr>
                <w:rFonts w:ascii="Calibri" w:hAnsi="Calibri"/>
                <w:b/>
                <w:color w:val="FFFFFF"/>
                <w:sz w:val="20"/>
              </w:rPr>
              <w:t>Auteur</w:t>
            </w:r>
          </w:p>
        </w:tc>
        <w:tc>
          <w:tcPr>
            <w:tcW w:type="dxa" w:w="1814"/>
            <w:shd w:fill="003366"/>
          </w:tcPr>
          <w:p>
            <w:pPr>
              <w:jc w:val="center"/>
            </w:pPr>
            <w:r/>
            <w:r>
              <w:rPr>
                <w:rFonts w:ascii="Calibri" w:hAnsi="Calibri"/>
                <w:b/>
                <w:color w:val="FFFFFF"/>
                <w:sz w:val="20"/>
              </w:rPr>
              <w:t>Wijziging</w:t>
            </w:r>
          </w:p>
        </w:tc>
        <w:tc>
          <w:tcPr>
            <w:tcW w:type="dxa" w:w="1814"/>
            <w:shd w:fill="003366"/>
          </w:tcPr>
          <w:p>
            <w:pPr>
              <w:jc w:val="center"/>
            </w:pPr>
            <w:r/>
            <w:r>
              <w:rPr>
                <w:rFonts w:ascii="Calibri" w:hAnsi="Calibri"/>
                <w:b/>
                <w:color w:val="FFFFFF"/>
                <w:sz w:val="20"/>
              </w:rPr>
              <w:t>Goedgekeurd door</w:t>
            </w:r>
          </w:p>
        </w:tc>
      </w:tr>
      <w:tr>
        <w:tc>
          <w:tcPr>
            <w:tcW w:type="dxa" w:w="1814"/>
          </w:tcPr>
          <w:p>
            <w:r/>
            <w:r>
              <w:rPr>
                <w:rFonts w:ascii="Calibri" w:hAnsi="Calibri"/>
                <w:color w:val="1F2937"/>
                <w:sz w:val="20"/>
              </w:rPr>
              <w:t>1.0</w:t>
            </w:r>
          </w:p>
        </w:tc>
        <w:tc>
          <w:tcPr>
            <w:tcW w:type="dxa" w:w="1814"/>
          </w:tcPr>
          <w:p>
            <w:r/>
            <w:r>
              <w:rPr>
                <w:rFonts w:ascii="Calibri" w:hAnsi="Calibri"/>
                <w:color w:val="1F2937"/>
                <w:sz w:val="20"/>
              </w:rPr>
              <w:t>29-04-2026</w:t>
            </w:r>
          </w:p>
        </w:tc>
        <w:tc>
          <w:tcPr>
            <w:tcW w:type="dxa" w:w="1814"/>
          </w:tcPr>
          <w:p>
            <w:r/>
            <w:r>
              <w:rPr>
                <w:rFonts w:ascii="Calibri" w:hAnsi="Calibri"/>
                <w:color w:val="1F2937"/>
                <w:sz w:val="20"/>
              </w:rPr>
              <w:t>JvG Consultancy</w:t>
            </w:r>
          </w:p>
        </w:tc>
        <w:tc>
          <w:tcPr>
            <w:tcW w:type="dxa" w:w="1814"/>
          </w:tcPr>
          <w:p>
            <w:r/>
            <w:r>
              <w:rPr>
                <w:rFonts w:ascii="Calibri" w:hAnsi="Calibri"/>
                <w:color w:val="1F2937"/>
                <w:sz w:val="20"/>
              </w:rPr>
              <w:t>Eerste release</w:t>
            </w:r>
          </w:p>
        </w:tc>
        <w:tc>
          <w:tcPr>
            <w:tcW w:type="dxa" w:w="1814"/>
          </w:tcPr>
          <w:p>
            <w:r/>
            <w:r>
              <w:rPr>
                <w:rFonts w:ascii="Calibri" w:hAnsi="Calibri"/>
                <w:color w:val="1F2937"/>
                <w:sz w:val="20"/>
              </w:rPr>
              <w:t>J. van Gemert</w:t>
            </w:r>
          </w:p>
        </w:tc>
      </w:tr>
      <w:tr>
        <w:tc>
          <w:tcPr>
            <w:tcW w:type="dxa" w:w="1814"/>
          </w:tcPr>
          <w:p>
            <w:r/>
            <w:r>
              <w:rPr>
                <w:rFonts w:ascii="Calibri" w:hAnsi="Calibri"/>
                <w:color w:val="1F2937"/>
                <w:sz w:val="20"/>
              </w:rPr>
              <w:t>0.1</w:t>
            </w:r>
          </w:p>
        </w:tc>
        <w:tc>
          <w:tcPr>
            <w:tcW w:type="dxa" w:w="1814"/>
          </w:tcPr>
          <w:p>
            <w:r/>
            <w:r>
              <w:rPr>
                <w:rFonts w:ascii="Calibri" w:hAnsi="Calibri"/>
                <w:color w:val="1F2937"/>
                <w:sz w:val="20"/>
              </w:rPr>
              <w:t>01-04-2026</w:t>
            </w:r>
          </w:p>
        </w:tc>
        <w:tc>
          <w:tcPr>
            <w:tcW w:type="dxa" w:w="1814"/>
          </w:tcPr>
          <w:p>
            <w:r/>
            <w:r>
              <w:rPr>
                <w:rFonts w:ascii="Calibri" w:hAnsi="Calibri"/>
                <w:color w:val="1F2937"/>
                <w:sz w:val="20"/>
              </w:rPr>
              <w:t>JvG Consultancy</w:t>
            </w:r>
          </w:p>
        </w:tc>
        <w:tc>
          <w:tcPr>
            <w:tcW w:type="dxa" w:w="1814"/>
          </w:tcPr>
          <w:p>
            <w:r/>
            <w:r>
              <w:rPr>
                <w:rFonts w:ascii="Calibri" w:hAnsi="Calibri"/>
                <w:color w:val="1F2937"/>
                <w:sz w:val="20"/>
              </w:rPr>
              <w:t>Concept</w:t>
            </w:r>
          </w:p>
        </w:tc>
        <w:tc>
          <w:tcPr>
            <w:tcW w:type="dxa" w:w="1814"/>
          </w:tcPr>
          <w:p>
            <w:r/>
            <w:r>
              <w:rPr>
                <w:rFonts w:ascii="Calibri" w:hAnsi="Calibri"/>
                <w:color w:val="1F2937"/>
                <w:sz w:val="20"/>
              </w:rPr>
              <w:t>—</w:t>
            </w:r>
          </w:p>
        </w:tc>
      </w:tr>
      <w:tr>
        <w:tc>
          <w:tcPr>
            <w:tcW w:type="dxa" w:w="1814"/>
          </w:tcPr>
          <w:p>
            <w:r>
              <w:rPr>
                <w:rFonts w:ascii="Calibri" w:hAnsi="Calibri"/>
                <w:sz w:val="22"/>
              </w:rPr>
              <w:t>v1.1</w:t>
            </w:r>
          </w:p>
        </w:tc>
        <w:tc>
          <w:tcPr>
            <w:tcW w:type="dxa" w:w="1814"/>
          </w:tcPr>
          <w:p>
            <w:r>
              <w:rPr>
                <w:rFonts w:ascii="Calibri" w:hAnsi="Calibri"/>
                <w:sz w:val="22"/>
              </w:rPr>
              <w:t>29-04-2026</w:t>
            </w:r>
          </w:p>
        </w:tc>
        <w:tc>
          <w:tcPr>
            <w:tcW w:type="dxa" w:w="1814"/>
          </w:tcPr>
          <w:p>
            <w:r>
              <w:rPr>
                <w:rFonts w:ascii="Calibri" w:hAnsi="Calibri"/>
                <w:sz w:val="22"/>
              </w:rPr>
              <w:t>Kas (HSEQ Specialist)</w:t>
            </w:r>
          </w:p>
        </w:tc>
        <w:tc>
          <w:tcPr>
            <w:tcW w:type="dxa" w:w="1814"/>
          </w:tcPr>
          <w:p>
            <w:r>
              <w:rPr>
                <w:rFonts w:ascii="Calibri" w:hAnsi="Calibri"/>
                <w:sz w:val="22"/>
              </w:rPr>
              <w:t>Toevoeging NTA 8620 Element IV procedures (H8–H12): regulatory change, omgevingsmonitoring, VBS-wijzigingen, drempelwaarden, periodieke herbeoordeling</w:t>
            </w:r>
          </w:p>
        </w:tc>
        <w:tc>
          <w:tcPr>
            <w:tcW w:type="dxa" w:w="1814"/>
          </w:tcPr>
          <w:p/>
        </w:tc>
      </w:tr>
    </w:tbl>
    <w:p/>
    <w:p>
      <w:r>
        <w:rPr>
          <w:rFonts w:ascii="Calibri" w:hAnsi="Calibri"/>
          <w:b/>
          <w:sz w:val="24"/>
        </w:rPr>
        <w:t>Distributielijst</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pPr>
              <w:jc w:val="center"/>
            </w:pPr>
            <w:r/>
            <w:r>
              <w:rPr>
                <w:rFonts w:ascii="Calibri" w:hAnsi="Calibri"/>
                <w:b/>
                <w:color w:val="FFFFFF"/>
                <w:sz w:val="20"/>
              </w:rPr>
              <w:t>Naam</w:t>
            </w:r>
          </w:p>
        </w:tc>
        <w:tc>
          <w:tcPr>
            <w:tcW w:type="dxa" w:w="3024"/>
            <w:shd w:fill="003366"/>
          </w:tcPr>
          <w:p>
            <w:pPr>
              <w:jc w:val="center"/>
            </w:pPr>
            <w:r/>
            <w:r>
              <w:rPr>
                <w:rFonts w:ascii="Calibri" w:hAnsi="Calibri"/>
                <w:b/>
                <w:color w:val="FFFFFF"/>
                <w:sz w:val="20"/>
              </w:rPr>
              <w:t>Functie</w:t>
            </w:r>
          </w:p>
        </w:tc>
        <w:tc>
          <w:tcPr>
            <w:tcW w:type="dxa" w:w="3024"/>
            <w:shd w:fill="003366"/>
          </w:tcPr>
          <w:p>
            <w:pPr>
              <w:jc w:val="center"/>
            </w:pPr>
            <w:r/>
            <w:r>
              <w:rPr>
                <w:rFonts w:ascii="Calibri" w:hAnsi="Calibri"/>
                <w:b/>
                <w:color w:val="FFFFFF"/>
                <w:sz w:val="20"/>
              </w:rPr>
              <w:t>Distributie</w:t>
            </w:r>
          </w:p>
        </w:tc>
      </w:tr>
      <w:tr>
        <w:tc>
          <w:tcPr>
            <w:tcW w:type="dxa" w:w="3024"/>
          </w:tcPr>
          <w:p>
            <w:r/>
            <w:r>
              <w:rPr>
                <w:rFonts w:ascii="Calibri" w:hAnsi="Calibri"/>
                <w:color w:val="1F2937"/>
                <w:sz w:val="20"/>
              </w:rPr>
              <w:t>Directie Phoenix Metals</w:t>
            </w:r>
          </w:p>
        </w:tc>
        <w:tc>
          <w:tcPr>
            <w:tcW w:type="dxa" w:w="3024"/>
          </w:tcPr>
          <w:p>
            <w:r/>
            <w:r>
              <w:rPr>
                <w:rFonts w:ascii="Calibri" w:hAnsi="Calibri"/>
                <w:color w:val="1F2937"/>
                <w:sz w:val="20"/>
              </w:rPr>
              <w:t>Directie</w:t>
            </w:r>
          </w:p>
        </w:tc>
        <w:tc>
          <w:tcPr>
            <w:tcW w:type="dxa" w:w="3024"/>
          </w:tcPr>
          <w:p>
            <w:r/>
            <w:r>
              <w:rPr>
                <w:rFonts w:ascii="Calibri" w:hAnsi="Calibri"/>
                <w:color w:val="1F2937"/>
                <w:sz w:val="20"/>
              </w:rPr>
              <w:t>Digitaal + Fysiek</w:t>
            </w:r>
          </w:p>
        </w:tc>
      </w:tr>
      <w:tr>
        <w:tc>
          <w:tcPr>
            <w:tcW w:type="dxa" w:w="3024"/>
          </w:tcPr>
          <w:p>
            <w:r/>
            <w:r>
              <w:rPr>
                <w:rFonts w:ascii="Calibri" w:hAnsi="Calibri"/>
                <w:color w:val="1F2937"/>
                <w:sz w:val="20"/>
              </w:rPr>
              <w:t>HSE Manager</w:t>
            </w:r>
          </w:p>
        </w:tc>
        <w:tc>
          <w:tcPr>
            <w:tcW w:type="dxa" w:w="3024"/>
          </w:tcPr>
          <w:p>
            <w:r/>
            <w:r>
              <w:rPr>
                <w:rFonts w:ascii="Calibri" w:hAnsi="Calibri"/>
                <w:color w:val="1F2937"/>
                <w:sz w:val="20"/>
              </w:rPr>
              <w:t>MoC-coördinator</w:t>
            </w:r>
          </w:p>
        </w:tc>
        <w:tc>
          <w:tcPr>
            <w:tcW w:type="dxa" w:w="3024"/>
          </w:tcPr>
          <w:p>
            <w:r/>
            <w:r>
              <w:rPr>
                <w:rFonts w:ascii="Calibri" w:hAnsi="Calibri"/>
                <w:color w:val="1F2937"/>
                <w:sz w:val="20"/>
              </w:rPr>
              <w:t>Digitaal + Fysiek</w:t>
            </w:r>
          </w:p>
        </w:tc>
      </w:tr>
      <w:tr>
        <w:tc>
          <w:tcPr>
            <w:tcW w:type="dxa" w:w="3024"/>
          </w:tcPr>
          <w:p>
            <w:r/>
            <w:r>
              <w:rPr>
                <w:rFonts w:ascii="Calibri" w:hAnsi="Calibri"/>
                <w:color w:val="1F2937"/>
                <w:sz w:val="20"/>
              </w:rPr>
              <w:t>Operations Manager</w:t>
            </w:r>
          </w:p>
        </w:tc>
        <w:tc>
          <w:tcPr>
            <w:tcW w:type="dxa" w:w="3024"/>
          </w:tcPr>
          <w:p>
            <w:r/>
            <w:r>
              <w:rPr>
                <w:rFonts w:ascii="Calibri" w:hAnsi="Calibri"/>
                <w:color w:val="1F2937"/>
                <w:sz w:val="20"/>
              </w:rPr>
              <w:t>Operationeel Management</w:t>
            </w:r>
          </w:p>
        </w:tc>
        <w:tc>
          <w:tcPr>
            <w:tcW w:type="dxa" w:w="3024"/>
          </w:tcPr>
          <w:p>
            <w:r/>
            <w:r>
              <w:rPr>
                <w:rFonts w:ascii="Calibri" w:hAnsi="Calibri"/>
                <w:color w:val="1F2937"/>
                <w:sz w:val="20"/>
              </w:rPr>
              <w:t>Digitaal</w:t>
            </w:r>
          </w:p>
        </w:tc>
      </w:tr>
      <w:tr>
        <w:tc>
          <w:tcPr>
            <w:tcW w:type="dxa" w:w="3024"/>
          </w:tcPr>
          <w:p>
            <w:r/>
            <w:r>
              <w:rPr>
                <w:rFonts w:ascii="Calibri" w:hAnsi="Calibri"/>
                <w:color w:val="1F2937"/>
                <w:sz w:val="20"/>
              </w:rPr>
              <w:t>Maintenance Manager</w:t>
            </w:r>
          </w:p>
        </w:tc>
        <w:tc>
          <w:tcPr>
            <w:tcW w:type="dxa" w:w="3024"/>
          </w:tcPr>
          <w:p>
            <w:r/>
            <w:r>
              <w:rPr>
                <w:rFonts w:ascii="Calibri" w:hAnsi="Calibri"/>
                <w:color w:val="1F2937"/>
                <w:sz w:val="20"/>
              </w:rPr>
              <w:t>Onderhoud</w:t>
            </w:r>
          </w:p>
        </w:tc>
        <w:tc>
          <w:tcPr>
            <w:tcW w:type="dxa" w:w="3024"/>
          </w:tcPr>
          <w:p>
            <w:r/>
            <w:r>
              <w:rPr>
                <w:rFonts w:ascii="Calibri" w:hAnsi="Calibri"/>
                <w:color w:val="1F2937"/>
                <w:sz w:val="20"/>
              </w:rPr>
              <w:t>Digitaal</w:t>
            </w:r>
          </w:p>
        </w:tc>
      </w:tr>
      <w:tr>
        <w:tc>
          <w:tcPr>
            <w:tcW w:type="dxa" w:w="3024"/>
          </w:tcPr>
          <w:p>
            <w:r/>
            <w:r>
              <w:rPr>
                <w:rFonts w:ascii="Calibri" w:hAnsi="Calibri"/>
                <w:color w:val="1F2937"/>
                <w:sz w:val="20"/>
              </w:rPr>
              <w:t>Shiftleiders</w:t>
            </w:r>
          </w:p>
        </w:tc>
        <w:tc>
          <w:tcPr>
            <w:tcW w:type="dxa" w:w="3024"/>
          </w:tcPr>
          <w:p>
            <w:r/>
            <w:r>
              <w:rPr>
                <w:rFonts w:ascii="Calibri" w:hAnsi="Calibri"/>
                <w:color w:val="1F2937"/>
                <w:sz w:val="20"/>
              </w:rPr>
              <w:t>Operationeel Management</w:t>
            </w:r>
          </w:p>
        </w:tc>
        <w:tc>
          <w:tcPr>
            <w:tcW w:type="dxa" w:w="3024"/>
          </w:tcPr>
          <w:p>
            <w:r/>
            <w:r>
              <w:rPr>
                <w:rFonts w:ascii="Calibri" w:hAnsi="Calibri"/>
                <w:color w:val="1F2937"/>
                <w:sz w:val="20"/>
              </w:rPr>
              <w:t>Digitaal</w:t>
            </w:r>
          </w:p>
        </w:tc>
      </w:tr>
    </w:tbl>
    <w:p>
      <w:r>
        <w:br w:type="page"/>
      </w:r>
    </w:p>
    <w:p>
      <w:pPr>
        <w:pStyle w:val="Heading1"/>
      </w:pPr>
      <w:r>
        <w:t>Inhoudsopgave</w:t>
      </w:r>
    </w:p>
    <w:p>
      <w:r>
        <w:rPr>
          <w:rFonts w:ascii="Calibri" w:hAnsi="Calibri"/>
          <w:b/>
          <w:sz w:val="22"/>
        </w:rPr>
        <w:t>1  Doel &amp; Toepassingsgebied</w:t>
      </w:r>
    </w:p>
    <w:p>
      <w:r>
        <w:rPr>
          <w:rFonts w:ascii="Calibri" w:hAnsi="Calibri"/>
          <w:b/>
          <w:sz w:val="22"/>
        </w:rPr>
        <w:t>2  Referenties &amp; Definities</w:t>
      </w:r>
    </w:p>
    <w:p>
      <w:r>
        <w:rPr>
          <w:rFonts w:ascii="Calibri" w:hAnsi="Calibri"/>
          <w:b/>
          <w:sz w:val="22"/>
        </w:rPr>
        <w:t>3  MoC-proces — 9 Fasen</w:t>
      </w:r>
    </w:p>
    <w:p>
      <w:r>
        <w:rPr>
          <w:rFonts w:ascii="Calibri" w:hAnsi="Calibri"/>
          <w:sz w:val="22"/>
        </w:rPr>
        <w:t xml:space="preserve">  3.1  Fase 1: Initiatie &amp; Aanvraag</w:t>
      </w:r>
    </w:p>
    <w:p>
      <w:r>
        <w:rPr>
          <w:rFonts w:ascii="Calibri" w:hAnsi="Calibri"/>
          <w:sz w:val="22"/>
        </w:rPr>
        <w:t xml:space="preserve">  3.2  Fase 2: MoC-waardigheidtoets</w:t>
      </w:r>
    </w:p>
    <w:p>
      <w:r>
        <w:rPr>
          <w:rFonts w:ascii="Calibri" w:hAnsi="Calibri"/>
          <w:sz w:val="22"/>
        </w:rPr>
        <w:t xml:space="preserve">  3.3  Fase 3: MoC-team samenstelling &amp; Planning</w:t>
      </w:r>
    </w:p>
    <w:p>
      <w:r>
        <w:rPr>
          <w:rFonts w:ascii="Calibri" w:hAnsi="Calibri"/>
          <w:sz w:val="22"/>
        </w:rPr>
        <w:t xml:space="preserve">  3.4  Fase 4: Veiligheidsstudie</w:t>
      </w:r>
    </w:p>
    <w:p>
      <w:r>
        <w:rPr>
          <w:rFonts w:ascii="Calibri" w:hAnsi="Calibri"/>
          <w:sz w:val="22"/>
        </w:rPr>
        <w:t xml:space="preserve">  3.5  Fase 5: Risicobeoordeling</w:t>
      </w:r>
    </w:p>
    <w:p>
      <w:r>
        <w:rPr>
          <w:rFonts w:ascii="Calibri" w:hAnsi="Calibri"/>
          <w:sz w:val="22"/>
        </w:rPr>
        <w:t xml:space="preserve">  3.6  Fase 6: Vaststellen Maatregelen &amp; Acties</w:t>
      </w:r>
    </w:p>
    <w:p>
      <w:r>
        <w:rPr>
          <w:rFonts w:ascii="Calibri" w:hAnsi="Calibri"/>
          <w:sz w:val="22"/>
        </w:rPr>
        <w:t xml:space="preserve">  3.7  Fase 7: Uitvoering &amp; Implementatie</w:t>
      </w:r>
    </w:p>
    <w:p>
      <w:r>
        <w:rPr>
          <w:rFonts w:ascii="Calibri" w:hAnsi="Calibri"/>
          <w:sz w:val="22"/>
        </w:rPr>
        <w:t xml:space="preserve">  3.8  Fase 8: PSSR (Pre-Startup Safety Review)</w:t>
      </w:r>
    </w:p>
    <w:p>
      <w:r>
        <w:rPr>
          <w:rFonts w:ascii="Calibri" w:hAnsi="Calibri"/>
          <w:sz w:val="22"/>
        </w:rPr>
        <w:t xml:space="preserve">  3.9  Fase 9: Evaluatie &amp; Afsluiting</w:t>
      </w:r>
    </w:p>
    <w:p>
      <w:r>
        <w:rPr>
          <w:rFonts w:ascii="Calibri" w:hAnsi="Calibri"/>
          <w:b/>
          <w:sz w:val="22"/>
        </w:rPr>
        <w:t>4  Spoedprocedure (Tijdelijke Wijzigingen)</w:t>
      </w:r>
    </w:p>
    <w:p>
      <w:r>
        <w:rPr>
          <w:rFonts w:ascii="Calibri" w:hAnsi="Calibri"/>
          <w:b/>
          <w:sz w:val="22"/>
        </w:rPr>
        <w:t>5  RACI Matrix</w:t>
      </w:r>
    </w:p>
    <w:p>
      <w:r>
        <w:rPr>
          <w:rFonts w:ascii="Calibri" w:hAnsi="Calibri"/>
          <w:b/>
          <w:sz w:val="22"/>
        </w:rPr>
        <w:t>6  Documentatie &amp; Archivering</w:t>
      </w:r>
    </w:p>
    <w:p>
      <w:r>
        <w:rPr>
          <w:rFonts w:ascii="Calibri" w:hAnsi="Calibri"/>
          <w:b/>
          <w:sz w:val="22"/>
        </w:rPr>
        <w:t>7  KPI's &amp; Prestatie-indicatoren</w:t>
      </w:r>
    </w:p>
    <w:p>
      <w:r>
        <w:rPr>
          <w:rFonts w:ascii="Calibri" w:hAnsi="Calibri"/>
          <w:b/>
          <w:sz w:val="22"/>
        </w:rPr>
        <w:t xml:space="preserve">  Bronnenlijst</w:t>
      </w:r>
    </w:p>
    <w:p>
      <w:r>
        <w:rPr>
          <w:rFonts w:ascii="Calibri" w:hAnsi="Calibri"/>
          <w:b/>
          <w:sz w:val="22"/>
        </w:rPr>
        <w:t xml:space="preserve">  TierVerify Log</w:t>
      </w:r>
    </w:p>
    <w:p>
      <w:r>
        <w:br w:type="page"/>
      </w:r>
    </w:p>
    <w:p>
      <w:pPr>
        <w:pStyle w:val="Heading1"/>
      </w:pPr>
      <w:r>
        <w:t>1. Doel &amp; Toepassingsgebied</w:t>
      </w:r>
    </w:p>
    <w:p>
      <w:pPr>
        <w:pStyle w:val="Heading2"/>
      </w:pPr>
      <w:r>
        <w:t>1.1 Doel</w:t>
      </w:r>
    </w:p>
    <w:p>
      <w:r>
        <w:t>Dit document beschrijft de operationele procedure voor Management of Change (MoC) binnen Phoenix Metals. De procedure is het uitvoeringsmechanisme van het MoC-beleid zoals vastgelegd in het Beleids- en Kaderdocument (PM_VBS05_01) [1]. Het doel is het waarborgen dat elke wijziging die van invloed kan zijn op het risicoprofiel van de inrichting systematisch wordt beoordeeld, goedgekeurd, geïmplementeerd en geëvalueerd.</w:t>
      </w:r>
    </w:p>
    <w:p>
      <w:pPr>
        <w:pStyle w:val="Heading2"/>
      </w:pPr>
      <w:r>
        <w:t>1.2 Toepassingsgebied</w:t>
      </w:r>
    </w:p>
    <w:p>
      <w:r>
        <w:t>Deze procedure is van toepassing op alle voorgenomen wijzigingen binnen alle Phoenix Metals faciliteiten die vallen binnen de scope van het MoC-beleid (PM_VBS05_01, hoofdstuk 5) [1]. Dit omvat wijzigingen aan:</w:t>
      </w:r>
    </w:p>
    <w:p>
      <w:pPr>
        <w:pStyle w:val="ListBullet"/>
      </w:pPr>
      <w:r>
        <w:t>Procesinstallaties en apparatuur</w:t>
      </w:r>
    </w:p>
    <w:p>
      <w:pPr>
        <w:pStyle w:val="ListBullet"/>
      </w:pPr>
      <w:r>
        <w:t>Bedrijfsvoering en operationele procedures</w:t>
      </w:r>
    </w:p>
    <w:p>
      <w:pPr>
        <w:pStyle w:val="ListBullet"/>
      </w:pPr>
      <w:r>
        <w:t>Organisatiestructuur en bezetting</w:t>
      </w:r>
    </w:p>
    <w:p>
      <w:pPr>
        <w:pStyle w:val="ListBullet"/>
      </w:pPr>
      <w:r>
        <w:t>Gevaarlijke stoffen (toevoeging, verwijdering, wijziging hoeveelheden)</w:t>
      </w:r>
    </w:p>
    <w:p>
      <w:pPr>
        <w:pStyle w:val="ListBullet"/>
      </w:pPr>
      <w:r>
        <w:t>Veiligheidsmaatregelen en -systemen (inclusief SIL-klasseringen)</w:t>
      </w:r>
    </w:p>
    <w:p>
      <w:pPr>
        <w:pStyle w:val="ListBullet"/>
      </w:pPr>
      <w:r>
        <w:t>Ontwerp- en constructiespecificaties</w:t>
      </w:r>
    </w:p>
    <w:p>
      <w:pPr>
        <w:pStyle w:val="Heading2"/>
      </w:pPr>
      <w:r>
        <w:t>1.3 Doelgroep</w:t>
      </w:r>
    </w:p>
    <w:p>
      <w:r>
        <w:t>Deze procedure geldt voor alle medewerkers, aannemers en onderaannemers die werkzaamheden uitvoeren binnen de Phoenix Metals inrichting. Elke medewerker wordt geacht bekend te zijn met de hoofdlijnen van dit document. De MoC-coördinator zorgt voor adequate instructie en training (zie PM_VBS05_01, paragraaf 7.2) [1].</w:t>
      </w:r>
    </w:p>
    <w:p>
      <w:r>
        <w:br w:type="page"/>
      </w:r>
    </w:p>
    <w:p>
      <w:pPr>
        <w:pStyle w:val="Heading1"/>
      </w:pPr>
      <w:r>
        <w:t>2. Referenties &amp; Definities</w:t>
      </w:r>
    </w:p>
    <w:p>
      <w:pPr>
        <w:pStyle w:val="Heading2"/>
      </w:pPr>
      <w:r>
        <w:t>2.1 Referenties</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pPr>
              <w:jc w:val="center"/>
            </w:pPr>
            <w:r/>
            <w:r>
              <w:rPr>
                <w:rFonts w:ascii="Calibri" w:hAnsi="Calibri"/>
                <w:b/>
                <w:color w:val="FFFFFF"/>
                <w:sz w:val="20"/>
              </w:rPr>
              <w:t>Ref.</w:t>
            </w:r>
          </w:p>
        </w:tc>
        <w:tc>
          <w:tcPr>
            <w:tcW w:type="dxa" w:w="3024"/>
            <w:shd w:fill="003366"/>
          </w:tcPr>
          <w:p>
            <w:pPr>
              <w:jc w:val="center"/>
            </w:pPr>
            <w:r/>
            <w:r>
              <w:rPr>
                <w:rFonts w:ascii="Calibri" w:hAnsi="Calibri"/>
                <w:b/>
                <w:color w:val="FFFFFF"/>
                <w:sz w:val="20"/>
              </w:rPr>
              <w:t>Document</w:t>
            </w:r>
          </w:p>
        </w:tc>
        <w:tc>
          <w:tcPr>
            <w:tcW w:type="dxa" w:w="3024"/>
            <w:shd w:fill="003366"/>
          </w:tcPr>
          <w:p>
            <w:pPr>
              <w:jc w:val="center"/>
            </w:pPr>
            <w:r/>
            <w:r>
              <w:rPr>
                <w:rFonts w:ascii="Calibri" w:hAnsi="Calibri"/>
                <w:b/>
                <w:color w:val="FFFFFF"/>
                <w:sz w:val="20"/>
              </w:rPr>
              <w:t>Code</w:t>
            </w:r>
          </w:p>
        </w:tc>
      </w:tr>
      <w:tr>
        <w:tc>
          <w:tcPr>
            <w:tcW w:type="dxa" w:w="3024"/>
          </w:tcPr>
          <w:p>
            <w:r/>
            <w:r>
              <w:rPr>
                <w:rFonts w:ascii="Calibri" w:hAnsi="Calibri"/>
                <w:color w:val="1F2937"/>
                <w:sz w:val="20"/>
              </w:rPr>
              <w:t>[1]</w:t>
            </w:r>
          </w:p>
        </w:tc>
        <w:tc>
          <w:tcPr>
            <w:tcW w:type="dxa" w:w="3024"/>
          </w:tcPr>
          <w:p>
            <w:r/>
            <w:r>
              <w:rPr>
                <w:rFonts w:ascii="Calibri" w:hAnsi="Calibri"/>
                <w:color w:val="1F2937"/>
                <w:sz w:val="20"/>
              </w:rPr>
              <w:t>MoC Beleid &amp; Kaderdocument</w:t>
            </w:r>
          </w:p>
        </w:tc>
        <w:tc>
          <w:tcPr>
            <w:tcW w:type="dxa" w:w="3024"/>
          </w:tcPr>
          <w:p>
            <w:r/>
            <w:r>
              <w:rPr>
                <w:rFonts w:ascii="Calibri" w:hAnsi="Calibri"/>
                <w:color w:val="1F2937"/>
                <w:sz w:val="20"/>
              </w:rPr>
              <w:t>PM_VBS05_01</w:t>
            </w:r>
          </w:p>
        </w:tc>
      </w:tr>
      <w:tr>
        <w:tc>
          <w:tcPr>
            <w:tcW w:type="dxa" w:w="3024"/>
          </w:tcPr>
          <w:p>
            <w:r/>
            <w:r>
              <w:rPr>
                <w:rFonts w:ascii="Calibri" w:hAnsi="Calibri"/>
                <w:color w:val="1F2937"/>
                <w:sz w:val="20"/>
              </w:rPr>
              <w:t>[2]</w:t>
            </w:r>
          </w:p>
        </w:tc>
        <w:tc>
          <w:tcPr>
            <w:tcW w:type="dxa" w:w="3024"/>
          </w:tcPr>
          <w:p>
            <w:r/>
            <w:r>
              <w:rPr>
                <w:rFonts w:ascii="Calibri" w:hAnsi="Calibri"/>
                <w:color w:val="1F2937"/>
                <w:sz w:val="20"/>
              </w:rPr>
              <w:t>Seveso III Richtlijn 2012/18/EU</w:t>
            </w:r>
          </w:p>
        </w:tc>
        <w:tc>
          <w:tcPr>
            <w:tcW w:type="dxa" w:w="3024"/>
          </w:tcPr>
          <w:p>
            <w:r/>
            <w:r>
              <w:rPr>
                <w:rFonts w:ascii="Calibri" w:hAnsi="Calibri"/>
                <w:color w:val="1F2937"/>
                <w:sz w:val="20"/>
              </w:rPr>
              <w:t>—</w:t>
            </w:r>
          </w:p>
        </w:tc>
      </w:tr>
      <w:tr>
        <w:tc>
          <w:tcPr>
            <w:tcW w:type="dxa" w:w="3024"/>
          </w:tcPr>
          <w:p>
            <w:r/>
            <w:r>
              <w:rPr>
                <w:rFonts w:ascii="Calibri" w:hAnsi="Calibri"/>
                <w:color w:val="1F2937"/>
                <w:sz w:val="20"/>
              </w:rPr>
              <w:t>[3]</w:t>
            </w:r>
          </w:p>
        </w:tc>
        <w:tc>
          <w:tcPr>
            <w:tcW w:type="dxa" w:w="3024"/>
          </w:tcPr>
          <w:p>
            <w:r/>
            <w:r>
              <w:rPr>
                <w:rFonts w:ascii="Calibri" w:hAnsi="Calibri"/>
                <w:color w:val="1F2937"/>
                <w:sz w:val="20"/>
              </w:rPr>
              <w:t>BRZO 1999 (Stb. 1999, 369)</w:t>
            </w:r>
          </w:p>
        </w:tc>
        <w:tc>
          <w:tcPr>
            <w:tcW w:type="dxa" w:w="3024"/>
          </w:tcPr>
          <w:p>
            <w:r/>
            <w:r>
              <w:rPr>
                <w:rFonts w:ascii="Calibri" w:hAnsi="Calibri"/>
                <w:color w:val="1F2937"/>
                <w:sz w:val="20"/>
              </w:rPr>
              <w:t>—</w:t>
            </w:r>
          </w:p>
        </w:tc>
      </w:tr>
      <w:tr>
        <w:tc>
          <w:tcPr>
            <w:tcW w:type="dxa" w:w="3024"/>
          </w:tcPr>
          <w:p>
            <w:r/>
            <w:r>
              <w:rPr>
                <w:rFonts w:ascii="Calibri" w:hAnsi="Calibri"/>
                <w:color w:val="1F2937"/>
                <w:sz w:val="20"/>
              </w:rPr>
              <w:t>[4]</w:t>
            </w:r>
          </w:p>
        </w:tc>
        <w:tc>
          <w:tcPr>
            <w:tcW w:type="dxa" w:w="3024"/>
          </w:tcPr>
          <w:p>
            <w:r/>
            <w:r>
              <w:rPr>
                <w:rFonts w:ascii="Calibri" w:hAnsi="Calibri"/>
                <w:color w:val="1F2937"/>
                <w:sz w:val="20"/>
              </w:rPr>
              <w:t>VBS Element II — Risicomatrix &amp; FMECA</w:t>
            </w:r>
          </w:p>
        </w:tc>
        <w:tc>
          <w:tcPr>
            <w:tcW w:type="dxa" w:w="3024"/>
          </w:tcPr>
          <w:p>
            <w:r/>
            <w:r>
              <w:rPr>
                <w:rFonts w:ascii="Calibri" w:hAnsi="Calibri"/>
                <w:color w:val="1F2937"/>
                <w:sz w:val="20"/>
              </w:rPr>
              <w:t>PM_VBS02_XX</w:t>
            </w:r>
          </w:p>
        </w:tc>
      </w:tr>
      <w:tr>
        <w:tc>
          <w:tcPr>
            <w:tcW w:type="dxa" w:w="3024"/>
          </w:tcPr>
          <w:p>
            <w:r/>
            <w:r>
              <w:rPr>
                <w:rFonts w:ascii="Calibri" w:hAnsi="Calibri"/>
                <w:color w:val="1F2937"/>
                <w:sz w:val="20"/>
              </w:rPr>
              <w:t>[5]</w:t>
            </w:r>
          </w:p>
        </w:tc>
        <w:tc>
          <w:tcPr>
            <w:tcW w:type="dxa" w:w="3024"/>
          </w:tcPr>
          <w:p>
            <w:r/>
            <w:r>
              <w:rPr>
                <w:rFonts w:ascii="Calibri" w:hAnsi="Calibri"/>
                <w:color w:val="1F2937"/>
                <w:sz w:val="20"/>
              </w:rPr>
              <w:t>VBS Element III — CoW &amp; PSSR</w:t>
            </w:r>
          </w:p>
        </w:tc>
        <w:tc>
          <w:tcPr>
            <w:tcW w:type="dxa" w:w="3024"/>
          </w:tcPr>
          <w:p>
            <w:r/>
            <w:r>
              <w:rPr>
                <w:rFonts w:ascii="Calibri" w:hAnsi="Calibri"/>
                <w:color w:val="1F2937"/>
                <w:sz w:val="20"/>
              </w:rPr>
              <w:t>PM_VBS03_XX</w:t>
            </w:r>
          </w:p>
        </w:tc>
      </w:tr>
      <w:tr>
        <w:tc>
          <w:tcPr>
            <w:tcW w:type="dxa" w:w="3024"/>
          </w:tcPr>
          <w:p>
            <w:r/>
            <w:r>
              <w:rPr>
                <w:rFonts w:ascii="Calibri" w:hAnsi="Calibri"/>
                <w:color w:val="1F2937"/>
                <w:sz w:val="20"/>
              </w:rPr>
              <w:t>[6]</w:t>
            </w:r>
          </w:p>
        </w:tc>
        <w:tc>
          <w:tcPr>
            <w:tcW w:type="dxa" w:w="3024"/>
          </w:tcPr>
          <w:p>
            <w:r/>
            <w:r>
              <w:rPr>
                <w:rFonts w:ascii="Calibri" w:hAnsi="Calibri"/>
                <w:color w:val="1F2937"/>
                <w:sz w:val="20"/>
              </w:rPr>
              <w:t>MoC Classificatiematrix</w:t>
            </w:r>
          </w:p>
        </w:tc>
        <w:tc>
          <w:tcPr>
            <w:tcW w:type="dxa" w:w="3024"/>
          </w:tcPr>
          <w:p>
            <w:r/>
            <w:r>
              <w:rPr>
                <w:rFonts w:ascii="Calibri" w:hAnsi="Calibri"/>
                <w:color w:val="1F2937"/>
                <w:sz w:val="20"/>
              </w:rPr>
              <w:t>PM_VBS05_03</w:t>
            </w:r>
          </w:p>
        </w:tc>
      </w:tr>
      <w:tr>
        <w:tc>
          <w:tcPr>
            <w:tcW w:type="dxa" w:w="3024"/>
          </w:tcPr>
          <w:p>
            <w:r/>
            <w:r>
              <w:rPr>
                <w:rFonts w:ascii="Calibri" w:hAnsi="Calibri"/>
                <w:color w:val="1F2937"/>
                <w:sz w:val="20"/>
              </w:rPr>
              <w:t>[7]</w:t>
            </w:r>
          </w:p>
        </w:tc>
        <w:tc>
          <w:tcPr>
            <w:tcW w:type="dxa" w:w="3024"/>
          </w:tcPr>
          <w:p>
            <w:r/>
            <w:r>
              <w:rPr>
                <w:rFonts w:ascii="Calibri" w:hAnsi="Calibri"/>
                <w:color w:val="1F2937"/>
                <w:sz w:val="20"/>
              </w:rPr>
              <w:t>MoC Formulierenpakket</w:t>
            </w:r>
          </w:p>
        </w:tc>
        <w:tc>
          <w:tcPr>
            <w:tcW w:type="dxa" w:w="3024"/>
          </w:tcPr>
          <w:p>
            <w:r/>
            <w:r>
              <w:rPr>
                <w:rFonts w:ascii="Calibri" w:hAnsi="Calibri"/>
                <w:color w:val="1F2937"/>
                <w:sz w:val="20"/>
              </w:rPr>
              <w:t>PM_VBS05_04</w:t>
            </w:r>
          </w:p>
        </w:tc>
      </w:tr>
      <w:tr>
        <w:tc>
          <w:tcPr>
            <w:tcW w:type="dxa" w:w="3024"/>
          </w:tcPr>
          <w:p>
            <w:r/>
            <w:r>
              <w:rPr>
                <w:rFonts w:ascii="Calibri" w:hAnsi="Calibri"/>
                <w:color w:val="1F2937"/>
                <w:sz w:val="20"/>
              </w:rPr>
              <w:t>[8]</w:t>
            </w:r>
          </w:p>
        </w:tc>
        <w:tc>
          <w:tcPr>
            <w:tcW w:type="dxa" w:w="3024"/>
          </w:tcPr>
          <w:p>
            <w:r/>
            <w:r>
              <w:rPr>
                <w:rFonts w:ascii="Calibri" w:hAnsi="Calibri"/>
                <w:color w:val="1F2937"/>
                <w:sz w:val="20"/>
              </w:rPr>
              <w:t>MoC Register</w:t>
            </w:r>
          </w:p>
        </w:tc>
        <w:tc>
          <w:tcPr>
            <w:tcW w:type="dxa" w:w="3024"/>
          </w:tcPr>
          <w:p>
            <w:r/>
            <w:r>
              <w:rPr>
                <w:rFonts w:ascii="Calibri" w:hAnsi="Calibri"/>
                <w:color w:val="1F2937"/>
                <w:sz w:val="20"/>
              </w:rPr>
              <w:t>PM_VBS05_05</w:t>
            </w:r>
          </w:p>
        </w:tc>
      </w:tr>
      <w:tr>
        <w:tc>
          <w:tcPr>
            <w:tcW w:type="dxa" w:w="3024"/>
          </w:tcPr>
          <w:p>
            <w:r/>
            <w:r>
              <w:rPr>
                <w:rFonts w:ascii="Calibri" w:hAnsi="Calibri"/>
                <w:color w:val="1F2937"/>
                <w:sz w:val="20"/>
              </w:rPr>
              <w:t>[9]</w:t>
            </w:r>
          </w:p>
        </w:tc>
        <w:tc>
          <w:tcPr>
            <w:tcW w:type="dxa" w:w="3024"/>
          </w:tcPr>
          <w:p>
            <w:r/>
            <w:r>
              <w:rPr>
                <w:rFonts w:ascii="Calibri" w:hAnsi="Calibri"/>
                <w:color w:val="1F2937"/>
                <w:sz w:val="20"/>
              </w:rPr>
              <w:t>ISO 45001:2018 artikel 8.1.3</w:t>
            </w:r>
          </w:p>
        </w:tc>
        <w:tc>
          <w:tcPr>
            <w:tcW w:type="dxa" w:w="3024"/>
          </w:tcPr>
          <w:p>
            <w:r/>
            <w:r>
              <w:rPr>
                <w:rFonts w:ascii="Calibri" w:hAnsi="Calibri"/>
                <w:color w:val="1F2937"/>
                <w:sz w:val="20"/>
              </w:rPr>
              <w:t>—</w:t>
            </w:r>
          </w:p>
        </w:tc>
      </w:tr>
      <w:tr>
        <w:tc>
          <w:tcPr>
            <w:tcW w:type="dxa" w:w="3024"/>
          </w:tcPr>
          <w:p>
            <w:r/>
            <w:r>
              <w:rPr>
                <w:rFonts w:ascii="Calibri" w:hAnsi="Calibri"/>
                <w:color w:val="1F2937"/>
                <w:sz w:val="20"/>
              </w:rPr>
              <w:t>[10]</w:t>
            </w:r>
          </w:p>
        </w:tc>
        <w:tc>
          <w:tcPr>
            <w:tcW w:type="dxa" w:w="3024"/>
          </w:tcPr>
          <w:p>
            <w:r/>
            <w:r>
              <w:rPr>
                <w:rFonts w:ascii="Calibri" w:hAnsi="Calibri"/>
                <w:color w:val="1F2937"/>
                <w:sz w:val="20"/>
              </w:rPr>
              <w:t>CCPS Guidelines for Management of Change</w:t>
            </w:r>
          </w:p>
        </w:tc>
        <w:tc>
          <w:tcPr>
            <w:tcW w:type="dxa" w:w="3024"/>
          </w:tcPr>
          <w:p>
            <w:r/>
            <w:r>
              <w:rPr>
                <w:rFonts w:ascii="Calibri" w:hAnsi="Calibri"/>
                <w:color w:val="1F2937"/>
                <w:sz w:val="20"/>
              </w:rPr>
              <w:t>—</w:t>
            </w:r>
          </w:p>
        </w:tc>
      </w:tr>
    </w:tbl>
    <w:p/>
    <w:p>
      <w:pPr>
        <w:pStyle w:val="Heading2"/>
      </w:pPr>
      <w:r>
        <w:t>2.2 Definities</w:t>
      </w:r>
    </w:p>
    <w:p>
      <w:r>
        <w:t>Voor definities en begrippen wordt verwezen naar het Beleids- en Kaderdocument (PM_VBS05_01, hoofdstuk 3) [1]. De kernbegrippen worden hier beknopt herhaald ter leesbaarheid:</w:t>
      </w:r>
    </w:p>
    <w:p>
      <w:r>
        <w:rPr>
          <w:rFonts w:ascii="Calibri" w:hAnsi="Calibri"/>
          <w:b/>
          <w:sz w:val="22"/>
        </w:rPr>
        <w:t xml:space="preserve">Management of Change (MoC): </w:t>
      </w:r>
      <w:r>
        <w:rPr>
          <w:rFonts w:ascii="Calibri" w:hAnsi="Calibri"/>
          <w:sz w:val="22"/>
        </w:rPr>
        <w:t>Systematisch proces voor beoordeling, goedkeuring, implementatie en evaluatie van wijzigingen met mogelijke impact op veiligheid, gezondheid, milieu of bedrijfszekerheid.</w:t>
      </w:r>
    </w:p>
    <w:p>
      <w:r>
        <w:rPr>
          <w:rFonts w:ascii="Calibri" w:hAnsi="Calibri"/>
          <w:b/>
          <w:sz w:val="22"/>
        </w:rPr>
        <w:t xml:space="preserve">Vervanging-in-soortgelijk (RiF): </w:t>
      </w:r>
      <w:r>
        <w:rPr>
          <w:rFonts w:ascii="Calibri" w:hAnsi="Calibri"/>
          <w:sz w:val="22"/>
        </w:rPr>
        <w:t>Vervanging door een exemplaar met identieke specificaties, prestaties en veiligheidskenmerken. RiF valt NIET onder het MoC-proces.</w:t>
      </w:r>
    </w:p>
    <w:p>
      <w:r>
        <w:rPr>
          <w:rFonts w:ascii="Calibri" w:hAnsi="Calibri"/>
          <w:b/>
          <w:sz w:val="22"/>
        </w:rPr>
        <w:t xml:space="preserve">MoC-waardig: </w:t>
      </w:r>
      <w:r>
        <w:rPr>
          <w:rFonts w:ascii="Calibri" w:hAnsi="Calibri"/>
          <w:sz w:val="22"/>
        </w:rPr>
        <w:t>Een wijziging die van invloed kan zijn op het risicoprofiel van de inrichting.</w:t>
      </w:r>
    </w:p>
    <w:p>
      <w:r>
        <w:rPr>
          <w:rFonts w:ascii="Calibri" w:hAnsi="Calibri"/>
          <w:b/>
          <w:sz w:val="22"/>
        </w:rPr>
        <w:t xml:space="preserve">Spoed-MoC: </w:t>
      </w:r>
      <w:r>
        <w:rPr>
          <w:rFonts w:ascii="Calibri" w:hAnsi="Calibri"/>
          <w:sz w:val="22"/>
        </w:rPr>
        <w:t>Een wijziging die direct moet worden doorgevoerd om een acuut risico af te wenden. Volgt een versneld proces met achteraf formalisering.</w:t>
      </w:r>
    </w:p>
    <w:p>
      <w:r>
        <w:rPr>
          <w:rFonts w:ascii="Calibri" w:hAnsi="Calibri"/>
          <w:b/>
          <w:sz w:val="22"/>
        </w:rPr>
        <w:t xml:space="preserve">PSSR: </w:t>
      </w:r>
      <w:r>
        <w:rPr>
          <w:rFonts w:ascii="Calibri" w:hAnsi="Calibri"/>
          <w:sz w:val="22"/>
        </w:rPr>
        <w:t>Pre-Startup Safety Review — beoordeling vóór ingebruikname van een gewijzigde installatie of systeem.</w:t>
      </w:r>
    </w:p>
    <w:p>
      <w:r>
        <w:br w:type="page"/>
      </w:r>
    </w:p>
    <w:p>
      <w:pPr>
        <w:pStyle w:val="Heading1"/>
      </w:pPr>
      <w:r>
        <w:t>3. MoC-proces — 9 Fasen</w:t>
      </w:r>
    </w:p>
    <w:p>
      <w:r>
        <w:t>Het MoC-proces bestaat uit negen opeenvolgende fasen. Elke fase kent duidelijke verantwoordelijkheden, vereiste documentatie en beslismomenten. Het proces is ontworpen conform de eisen van BRZO 1999 artikel 5 [3], Seveso III artikel 12 [2] en VBS Element IV [1].</w:t>
      </w:r>
    </w:p>
    <w:p/>
    <w:p>
      <w:r>
        <w:rPr>
          <w:rFonts w:ascii="Calibri" w:hAnsi="Calibri"/>
          <w:b/>
          <w:sz w:val="22"/>
        </w:rPr>
        <w:t>Procesflow (tekstueel overzicht):</w:t>
      </w:r>
    </w:p>
    <w:p>
      <w:r>
        <w:rPr>
          <w:rFonts w:ascii="Calibri" w:hAnsi="Calibri"/>
          <w:i/>
          <w:color w:val="003366"/>
          <w:sz w:val="20"/>
        </w:rPr>
        <w:t>Fase 1 (Initiatie) → Fase 2 (Waardigheidtoets) → [Geen MoC? → Stop/RiF] → Fase 3 (Team &amp; Planning) → Fase 4 (Veiligheidsstudie) → Fase 5 (Risicobeoordeling) → Fase 6 (Maatregelen &amp; Go/No-Go) → [No-Go? → Terug naar Fase 5/6] → Fase 7 (Uitvoering &amp; Implementatie) → Fase 8 (PSSR) → Fase 9 (Evaluatie &amp; Afsluiting).</w:t>
      </w:r>
    </w:p>
    <w:p>
      <w:pPr>
        <w:pStyle w:val="Heading2"/>
      </w:pPr>
      <w:r>
        <w:t>3.1 Fase 1: Initiatie &amp; Aanvraag</w:t>
      </w:r>
    </w:p>
    <w:p>
      <w:pPr>
        <w:pStyle w:val="Heading3"/>
      </w:pPr>
      <w:r>
        <w:t>3.1.1 Wie kan initiëren</w:t>
      </w:r>
    </w:p>
    <w:p>
      <w:r>
        <w:t>Elk personeelslid van Phoenix Metals, inclusief tijdelijk personeel en onderaannemers, kan een MoC-aanvraag initiëren [1]. Dit omvat operators, technici, engineers, shiftleiders en management. Het initiatierecht is een fundamenteel beleidsuitgangspunt (PM_VBS05_01, paragraaf 4.3) [1].</w:t>
      </w:r>
    </w:p>
    <w:p>
      <w:pPr>
        <w:pStyle w:val="Heading3"/>
      </w:pPr>
      <w:r>
        <w:t>3.1.2 Aanvraagformulier</w:t>
      </w:r>
    </w:p>
    <w:p>
      <w:r>
        <w:t>De aanvrager vult het MoC-aanvraagformulier in (PM_VBS05_04, Formulier FM-01) [7]. Het formulier is digitaal beschikbaar via het Ultimo/CMMS-systeem. Schriftelijke aanvraag is mogelijk in geval van systeemunbeschikbaarheid.</w:t>
      </w:r>
    </w:p>
    <w:p>
      <w:r>
        <w:rPr>
          <w:rFonts w:ascii="Calibri" w:hAnsi="Calibri"/>
          <w:b/>
          <w:sz w:val="22"/>
        </w:rPr>
        <w:t>Verplichte velden:</w:t>
      </w:r>
    </w:p>
    <w:p>
      <w:pPr>
        <w:pStyle w:val="ListBullet"/>
      </w:pPr>
      <w:r>
        <w:t>Type wijziging (categorie conform PM_VBS05_01, paragraaf 3.2)</w:t>
      </w:r>
    </w:p>
    <w:p>
      <w:pPr>
        <w:pStyle w:val="ListBullet"/>
      </w:pPr>
      <w:r>
        <w:t>Doel en noodzaak van de wijziging</w:t>
      </w:r>
    </w:p>
    <w:p>
      <w:pPr>
        <w:pStyle w:val="ListBullet"/>
      </w:pPr>
      <w:r>
        <w:t>Technische beschrijving (wat wordt gewijzigd, hoe, waar)</w:t>
      </w:r>
    </w:p>
    <w:p>
      <w:pPr>
        <w:pStyle w:val="ListBullet"/>
      </w:pPr>
      <w:r>
        <w:t>Betrokken installaties/systemen/P&amp;ID-referenties</w:t>
      </w:r>
    </w:p>
    <w:p>
      <w:pPr>
        <w:pStyle w:val="ListBullet"/>
      </w:pPr>
      <w:r>
        <w:t>Indicatieve risico-inschatting door aanvrager (laag/midden/hoog)</w:t>
      </w:r>
    </w:p>
    <w:p>
      <w:pPr>
        <w:pStyle w:val="ListBullet"/>
      </w:pPr>
      <w:r>
        <w:t>Gewenste implementatiedatum</w:t>
      </w:r>
    </w:p>
    <w:p>
      <w:pPr>
        <w:pStyle w:val="ListBullet"/>
      </w:pPr>
      <w:r>
        <w:t>Contactgegevens aanvrager</w:t>
      </w:r>
    </w:p>
    <w:p>
      <w:pPr>
        <w:pStyle w:val="Heading3"/>
      </w:pPr>
      <w:r>
        <w:t>3.1.3 Ontvangst &amp; Registratie</w:t>
      </w:r>
    </w:p>
    <w:p>
      <w:r>
        <w:t>De MoC-coördinator ontvangt de aanvraag en registreert deze in het MoC-register (PM_VBS05_05) [8]. De aanvraag ontvangt een uniek MoC-nummer (formaat: MoC-YYYY-NNN). De aanvrager ontvangt een ontvangstbevestiging binnen 2 werkdagen.</w:t>
      </w:r>
    </w:p>
    <w:p>
      <w:pPr>
        <w:pStyle w:val="Heading2"/>
      </w:pPr>
      <w:r>
        <w:t>3.2 Fase 2: MoC-waardigheidtoets</w:t>
      </w:r>
    </w:p>
    <w:p>
      <w:pPr>
        <w:pStyle w:val="Heading3"/>
      </w:pPr>
      <w:r>
        <w:t>3.2.1 Beoordeling: MoC of RiF?</w:t>
      </w:r>
    </w:p>
    <w:p>
      <w:r>
        <w:t>De MoC-coördinator beoordeelt of de aanvraag MoC-waardig is danwel kwalificeert als Vervanging-in-soortgelijk (RiF). Deze beoordeling vindt plaats op basis van de beslisboom uit de Classificatiematrix (PM_VBS05_03) [6]. De beslisboom beantwoordt de volgende vragen:</w:t>
      </w:r>
    </w:p>
    <w:p>
      <w:pPr>
        <w:pStyle w:val="ListBullet"/>
      </w:pPr>
      <w:r>
        <w:t>Zijn de specificaties identiek aan het origineel (materiaal, afmetingen, prestaties)?</w:t>
      </w:r>
    </w:p>
    <w:p>
      <w:pPr>
        <w:pStyle w:val="ListBullet"/>
      </w:pPr>
      <w:r>
        <w:t>Is de functie in het proces ongewijzigd?</w:t>
      </w:r>
    </w:p>
    <w:p>
      <w:pPr>
        <w:pStyle w:val="ListBullet"/>
      </w:pPr>
      <w:r>
        <w:t>Zijn de veiligheidskenmerken (drukklasse, temperatuurbereik, SIL-rating) identiek?</w:t>
      </w:r>
    </w:p>
    <w:p>
      <w:pPr>
        <w:pStyle w:val="ListBullet"/>
      </w:pPr>
      <w:r>
        <w:t>Voldoet het onderdeel aan dezelfde normen en certificeringen?</w:t>
      </w:r>
    </w:p>
    <w:p>
      <w:r>
        <w:t>Bij alle vragen met "ja" is sprake van RiF en wordt de aanvraag afgesloten. Bij één of meer "nee" is de wijziging MoC-waardig en gaat het proces door naar Fase 3. Bij twijfel geldt het voorzorgsprincipe (PM_VBS05_01, paragraaf 5.3) [1].</w:t>
      </w:r>
    </w:p>
    <w:p>
      <w:pPr>
        <w:pStyle w:val="Heading3"/>
      </w:pPr>
      <w:r>
        <w:t>3.2.2 Spoedprocedure criteria</w:t>
      </w:r>
    </w:p>
    <w:p>
      <w:r>
        <w:t>De aanvrager of MoC-coördinator kan een spoedprocedure initiëren indien aan alle vier de volgende voorwaarden wordt voldaan [1]:</w:t>
      </w:r>
    </w:p>
    <w:p>
      <w:pPr>
        <w:pStyle w:val="ListNumber"/>
      </w:pPr>
      <w:r>
        <w:t>1. Er is een acuut risico voor veiligheid, gezondheid of milieu dat direct handelen vereist.</w:t>
      </w:r>
    </w:p>
    <w:p>
      <w:pPr>
        <w:pStyle w:val="ListNumber"/>
      </w:pPr>
      <w:r>
        <w:t>2. Door de wijziging ontstaat geen hoger risico dan het risico dat wordt afgewend.</w:t>
      </w:r>
    </w:p>
    <w:p>
      <w:pPr>
        <w:pStyle w:val="ListNumber"/>
      </w:pPr>
      <w:r>
        <w:t>3. De wijziging is tijdelijk van aard (maximaal 30 werkdagen).</w:t>
      </w:r>
    </w:p>
    <w:p>
      <w:pPr>
        <w:pStyle w:val="ListNumber"/>
      </w:pPr>
      <w:r>
        <w:t>4. Een reguliere MoC-doorlooptijd leidt tot onaanvaardbare vertraging met mogelijke ernstige gevolgen.</w:t>
      </w:r>
    </w:p>
    <w:p>
      <w:pPr>
        <w:pStyle w:val="Heading3"/>
      </w:pPr>
      <w:r>
        <w:t>3.2.3 Uitzonderingen</w:t>
      </w:r>
    </w:p>
    <w:p>
      <w:r>
        <w:t>De volgende wijzigingen zijn expliciet uitgezonderd van het MoC-proces (PM_VBS05_01, paragraaf 5.2) [1]:</w:t>
      </w:r>
    </w:p>
    <w:p>
      <w:pPr>
        <w:pStyle w:val="ListBullet"/>
      </w:pPr>
      <w:r>
        <w:t>RiF — vervanging door identiek exemplaar met dezelfde specificaties</w:t>
      </w:r>
    </w:p>
    <w:p>
      <w:pPr>
        <w:pStyle w:val="ListBullet"/>
      </w:pPr>
      <w:r>
        <w:t>Routine-onderhoud volgens goedgekeurde onderhoudsprocedures (VBS Element III)</w:t>
      </w:r>
    </w:p>
    <w:p>
      <w:pPr>
        <w:pStyle w:val="ListBullet"/>
      </w:pPr>
      <w:r>
        <w:t>Routine-aanpassingen binnen goedgekeurde Safe Operating Limits</w:t>
      </w:r>
    </w:p>
    <w:p>
      <w:pPr>
        <w:pStyle w:val="ListBullet"/>
      </w:pPr>
      <w:r>
        <w:t>Administratieve wijzigingen zonder impact op veiligheid, gezondheid of milieu</w:t>
      </w:r>
    </w:p>
    <w:p>
      <w:pPr>
        <w:pStyle w:val="Heading2"/>
      </w:pPr>
      <w:r>
        <w:t>3.3 Fase 3: MoC-team samenstelling &amp; Planning</w:t>
      </w:r>
    </w:p>
    <w:p>
      <w:pPr>
        <w:pStyle w:val="Heading3"/>
      </w:pPr>
      <w:r>
        <w:t>3.3.1 Teamsamenstelling</w:t>
      </w:r>
    </w:p>
    <w:p>
      <w:r>
        <w:t>De MoC-coördinator stelt per MoC-aanvraag een multidisciplinair team samen. Het team bestaat minimaal uit [1]:</w:t>
      </w:r>
    </w:p>
    <w:p>
      <w:pPr>
        <w:pStyle w:val="ListBullet"/>
      </w:pPr>
      <w:r>
        <w:t>HSE-vertegenwoordiger (veiligheidsdeskundige)</w:t>
      </w:r>
    </w:p>
    <w:p>
      <w:pPr>
        <w:pStyle w:val="ListBullet"/>
      </w:pPr>
      <w:r>
        <w:t>Operations-vertegenwoordiger (operationeel expertise)</w:t>
      </w:r>
    </w:p>
    <w:p>
      <w:pPr>
        <w:pStyle w:val="ListBullet"/>
      </w:pPr>
      <w:r>
        <w:t>Maintenance-vertegenwoordiger (technisch/onderhoud expertise)</w:t>
      </w:r>
    </w:p>
    <w:p>
      <w:r>
        <w:t>Afhankelijk van de aard en complexiteit van de wijziging worden aanvullende deskundigen betrokken [10]:</w:t>
      </w:r>
    </w:p>
    <w:p>
      <w:pPr>
        <w:pStyle w:val="ListBullet"/>
      </w:pPr>
      <w:r>
        <w:t>Proces engineering (bij wijzigingen aan procesparameters of -configuratie)</w:t>
      </w:r>
    </w:p>
    <w:p>
      <w:pPr>
        <w:pStyle w:val="ListBullet"/>
      </w:pPr>
      <w:r>
        <w:t>Milieudeskundige (bij wijzigingen met mogelijke milieueffecten)</w:t>
      </w:r>
    </w:p>
    <w:p>
      <w:pPr>
        <w:pStyle w:val="ListBullet"/>
      </w:pPr>
      <w:r>
        <w:t>Elektrotechnisch / Instrumentatie specialist (bij wijzigingen aan E&amp;I-systemen)</w:t>
      </w:r>
    </w:p>
    <w:p>
      <w:pPr>
        <w:pStyle w:val="ListBullet"/>
      </w:pPr>
      <w:r>
        <w:t>Externe expertise (bij complexe of niche-wijzigingen)</w:t>
      </w:r>
    </w:p>
    <w:p>
      <w:pPr>
        <w:pStyle w:val="Heading3"/>
      </w:pPr>
      <w:r>
        <w:t>3.3.2 Planning</w:t>
      </w:r>
    </w:p>
    <w:p>
      <w:r>
        <w:t>Het MoC-team stelt in het eerste overleg een planning op met de volgende elementen:</w:t>
      </w:r>
    </w:p>
    <w:p>
      <w:pPr>
        <w:pStyle w:val="ListBullet"/>
      </w:pPr>
      <w:r>
        <w:t>Tijdschema voor de fasen 4 t/m 9</w:t>
      </w:r>
    </w:p>
    <w:p>
      <w:pPr>
        <w:pStyle w:val="ListBullet"/>
      </w:pPr>
      <w:r>
        <w:t>Data voor teamvergaderingen en beslismomenten</w:t>
      </w:r>
    </w:p>
    <w:p>
      <w:pPr>
        <w:pStyle w:val="ListBullet"/>
      </w:pPr>
      <w:r>
        <w:t>Benodigde externe inbreng (specialisten, leveranciers)</w:t>
      </w:r>
    </w:p>
    <w:p>
      <w:pPr>
        <w:pStyle w:val="ListBullet"/>
      </w:pPr>
      <w:r>
        <w:t>Gewenste implementatiedatum en fasering indien van toepassing</w:t>
      </w:r>
    </w:p>
    <w:p>
      <w:pPr>
        <w:pStyle w:val="ListBullet"/>
      </w:pPr>
      <w:r>
        <w:t>Evaluatiemoment na implementatie</w:t>
      </w:r>
    </w:p>
    <w:p>
      <w:pPr>
        <w:pStyle w:val="Heading2"/>
      </w:pPr>
      <w:r>
        <w:t>3.4 Fase 4: Veiligheidsstudie (indien vereist)</w:t>
      </w:r>
    </w:p>
    <w:p>
      <w:pPr>
        <w:pStyle w:val="Heading3"/>
      </w:pPr>
      <w:r>
        <w:t>3.4.1 Afloopschema veiligheidsstudies</w:t>
      </w:r>
    </w:p>
    <w:p>
      <w:r>
        <w:t>Op basis van het classificatieniveau van de wijziging (PM_VBS05_03) [6] bepaalt het MoC-team welk type veiligheidsstudie vereist is. Het afloopschema uit PM_VBS05_04 (Formulier FM-02) [7] wordt hiervoor gebruikt.</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pPr>
              <w:jc w:val="center"/>
            </w:pPr>
            <w:r/>
            <w:r>
              <w:rPr>
                <w:rFonts w:ascii="Calibri" w:hAnsi="Calibri"/>
                <w:b/>
                <w:color w:val="FFFFFF"/>
                <w:sz w:val="20"/>
              </w:rPr>
              <w:t>Risicoklasse</w:t>
            </w:r>
          </w:p>
        </w:tc>
        <w:tc>
          <w:tcPr>
            <w:tcW w:type="dxa" w:w="3024"/>
            <w:shd w:fill="003366"/>
          </w:tcPr>
          <w:p>
            <w:pPr>
              <w:jc w:val="center"/>
            </w:pPr>
            <w:r/>
            <w:r>
              <w:rPr>
                <w:rFonts w:ascii="Calibri" w:hAnsi="Calibri"/>
                <w:b/>
                <w:color w:val="FFFFFF"/>
                <w:sz w:val="20"/>
              </w:rPr>
              <w:t>Type veiligheidsstudie</w:t>
            </w:r>
          </w:p>
        </w:tc>
        <w:tc>
          <w:tcPr>
            <w:tcW w:type="dxa" w:w="3024"/>
            <w:shd w:fill="003366"/>
          </w:tcPr>
          <w:p>
            <w:pPr>
              <w:jc w:val="center"/>
            </w:pPr>
            <w:r/>
            <w:r>
              <w:rPr>
                <w:rFonts w:ascii="Calibri" w:hAnsi="Calibri"/>
                <w:b/>
                <w:color w:val="FFFFFF"/>
                <w:sz w:val="20"/>
              </w:rPr>
              <w:t>Verplicht</w:t>
            </w:r>
          </w:p>
        </w:tc>
      </w:tr>
      <w:tr>
        <w:tc>
          <w:tcPr>
            <w:tcW w:type="dxa" w:w="3024"/>
          </w:tcPr>
          <w:p>
            <w:r/>
            <w:r>
              <w:rPr>
                <w:rFonts w:ascii="Calibri" w:hAnsi="Calibri"/>
                <w:color w:val="1F2937"/>
                <w:sz w:val="20"/>
              </w:rPr>
              <w:t>1 (Laag)</w:t>
            </w:r>
          </w:p>
        </w:tc>
        <w:tc>
          <w:tcPr>
            <w:tcW w:type="dxa" w:w="3024"/>
          </w:tcPr>
          <w:p>
            <w:r/>
            <w:r>
              <w:rPr>
                <w:rFonts w:ascii="Calibri" w:hAnsi="Calibri"/>
                <w:color w:val="1F2937"/>
                <w:sz w:val="20"/>
              </w:rPr>
              <w:t>What-If / Checklist</w:t>
            </w:r>
          </w:p>
        </w:tc>
        <w:tc>
          <w:tcPr>
            <w:tcW w:type="dxa" w:w="3024"/>
          </w:tcPr>
          <w:p>
            <w:r/>
            <w:r>
              <w:rPr>
                <w:rFonts w:ascii="Calibri" w:hAnsi="Calibri"/>
                <w:color w:val="1F2937"/>
                <w:sz w:val="20"/>
              </w:rPr>
              <w:t>Ja</w:t>
            </w:r>
          </w:p>
        </w:tc>
      </w:tr>
      <w:tr>
        <w:tc>
          <w:tcPr>
            <w:tcW w:type="dxa" w:w="3024"/>
          </w:tcPr>
          <w:p>
            <w:r/>
            <w:r>
              <w:rPr>
                <w:rFonts w:ascii="Calibri" w:hAnsi="Calibri"/>
                <w:color w:val="1F2937"/>
                <w:sz w:val="20"/>
              </w:rPr>
              <w:t>2 (Matig)</w:t>
            </w:r>
          </w:p>
        </w:tc>
        <w:tc>
          <w:tcPr>
            <w:tcW w:type="dxa" w:w="3024"/>
          </w:tcPr>
          <w:p>
            <w:r/>
            <w:r>
              <w:rPr>
                <w:rFonts w:ascii="Calibri" w:hAnsi="Calibri"/>
                <w:color w:val="1F2937"/>
                <w:sz w:val="20"/>
              </w:rPr>
              <w:t>What-If + Checklist</w:t>
            </w:r>
          </w:p>
        </w:tc>
        <w:tc>
          <w:tcPr>
            <w:tcW w:type="dxa" w:w="3024"/>
          </w:tcPr>
          <w:p>
            <w:r/>
            <w:r>
              <w:rPr>
                <w:rFonts w:ascii="Calibri" w:hAnsi="Calibri"/>
                <w:color w:val="1F2937"/>
                <w:sz w:val="20"/>
              </w:rPr>
              <w:t>Ja</w:t>
            </w:r>
          </w:p>
        </w:tc>
      </w:tr>
      <w:tr>
        <w:tc>
          <w:tcPr>
            <w:tcW w:type="dxa" w:w="3024"/>
          </w:tcPr>
          <w:p>
            <w:r/>
            <w:r>
              <w:rPr>
                <w:rFonts w:ascii="Calibri" w:hAnsi="Calibri"/>
                <w:color w:val="1F2937"/>
                <w:sz w:val="20"/>
              </w:rPr>
              <w:t>3 (Hoog)</w:t>
            </w:r>
          </w:p>
        </w:tc>
        <w:tc>
          <w:tcPr>
            <w:tcW w:type="dxa" w:w="3024"/>
          </w:tcPr>
          <w:p>
            <w:r/>
            <w:r>
              <w:rPr>
                <w:rFonts w:ascii="Calibri" w:hAnsi="Calibri"/>
                <w:color w:val="1F2937"/>
                <w:sz w:val="20"/>
              </w:rPr>
              <w:t>HAZOP of FMEA/FMECA</w:t>
            </w:r>
          </w:p>
        </w:tc>
        <w:tc>
          <w:tcPr>
            <w:tcW w:type="dxa" w:w="3024"/>
          </w:tcPr>
          <w:p>
            <w:r/>
            <w:r>
              <w:rPr>
                <w:rFonts w:ascii="Calibri" w:hAnsi="Calibri"/>
                <w:color w:val="1F2937"/>
                <w:sz w:val="20"/>
              </w:rPr>
              <w:t>Ja</w:t>
            </w:r>
          </w:p>
        </w:tc>
      </w:tr>
      <w:tr>
        <w:tc>
          <w:tcPr>
            <w:tcW w:type="dxa" w:w="3024"/>
          </w:tcPr>
          <w:p>
            <w:r/>
            <w:r>
              <w:rPr>
                <w:rFonts w:ascii="Calibri" w:hAnsi="Calibri"/>
                <w:color w:val="1F2937"/>
                <w:sz w:val="20"/>
              </w:rPr>
              <w:t>4 (Zeer hoog)</w:t>
            </w:r>
          </w:p>
        </w:tc>
        <w:tc>
          <w:tcPr>
            <w:tcW w:type="dxa" w:w="3024"/>
          </w:tcPr>
          <w:p>
            <w:r/>
            <w:r>
              <w:rPr>
                <w:rFonts w:ascii="Calibri" w:hAnsi="Calibri"/>
                <w:color w:val="1F2937"/>
                <w:sz w:val="20"/>
              </w:rPr>
              <w:t>HAZOP + QRA</w:t>
            </w:r>
          </w:p>
        </w:tc>
        <w:tc>
          <w:tcPr>
            <w:tcW w:type="dxa" w:w="3024"/>
          </w:tcPr>
          <w:p>
            <w:r/>
            <w:r>
              <w:rPr>
                <w:rFonts w:ascii="Calibri" w:hAnsi="Calibri"/>
                <w:color w:val="1F2937"/>
                <w:sz w:val="20"/>
              </w:rPr>
              <w:t>Ja</w:t>
            </w:r>
          </w:p>
        </w:tc>
      </w:tr>
    </w:tbl>
    <w:p/>
    <w:p>
      <w:pPr>
        <w:pStyle w:val="Heading3"/>
      </w:pPr>
      <w:r>
        <w:t>3.4.2 Types veiligheidsstudies</w:t>
      </w:r>
    </w:p>
    <w:p>
      <w:r>
        <w:t>De volgende methodieken kunnen worden ingezet, afhankelijk van de aard en complexiteit van de wijziging [10]:</w:t>
      </w:r>
    </w:p>
    <w:p>
      <w:r>
        <w:rPr>
          <w:rFonts w:ascii="Calibri" w:hAnsi="Calibri"/>
          <w:b/>
          <w:sz w:val="22"/>
        </w:rPr>
        <w:t xml:space="preserve">HAZOP (Hazard and Operability Study): </w:t>
      </w:r>
      <w:r>
        <w:rPr>
          <w:rFonts w:ascii="Calibri" w:hAnsi="Calibri"/>
          <w:sz w:val="22"/>
        </w:rPr>
        <w:t>Gestructureerde analyse van procesafwijkingen per knooppunt. Geschikt voor wijzigingen aan procesinstallaties en -parameters.</w:t>
      </w:r>
    </w:p>
    <w:p>
      <w:r>
        <w:rPr>
          <w:rFonts w:ascii="Calibri" w:hAnsi="Calibri"/>
          <w:b/>
          <w:sz w:val="22"/>
        </w:rPr>
        <w:t xml:space="preserve">What-If analyse: </w:t>
      </w:r>
      <w:r>
        <w:rPr>
          <w:rFonts w:ascii="Calibri" w:hAnsi="Calibri"/>
          <w:sz w:val="22"/>
        </w:rPr>
        <w:t>Brainstorm-gebaseerde analyse met "wat als"-vragen. Geschikt voor eenvoudigere wijzigingen en als screening.</w:t>
      </w:r>
    </w:p>
    <w:p>
      <w:r>
        <w:rPr>
          <w:rFonts w:ascii="Calibri" w:hAnsi="Calibri"/>
          <w:b/>
          <w:sz w:val="22"/>
        </w:rPr>
        <w:t xml:space="preserve">FMEA/FMECA (Failure Mode and Effects Analysis): </w:t>
      </w:r>
      <w:r>
        <w:rPr>
          <w:rFonts w:ascii="Calibri" w:hAnsi="Calibri"/>
          <w:sz w:val="22"/>
        </w:rPr>
        <w:t>Systematische analyse van faalwijzen en hun effecten. Geschikt voor apparatuur- en systeemwijzigingen.</w:t>
      </w:r>
    </w:p>
    <w:p>
      <w:r>
        <w:rPr>
          <w:rFonts w:ascii="Calibri" w:hAnsi="Calibri"/>
          <w:b/>
          <w:sz w:val="22"/>
        </w:rPr>
        <w:t xml:space="preserve">Checklistmethode: </w:t>
      </w:r>
      <w:r>
        <w:rPr>
          <w:rFonts w:ascii="Calibri" w:hAnsi="Calibri"/>
          <w:sz w:val="22"/>
        </w:rPr>
        <w:t>Systematische afvinking van veiligheidsaspecten. Geschikt als aanvulling op andere methodieken of voor risicoklasse 1.</w:t>
      </w:r>
    </w:p>
    <w:p>
      <w:pPr>
        <w:pStyle w:val="Heading3"/>
      </w:pPr>
      <w:r>
        <w:t>3.4.3 Resultaten documenteren</w:t>
      </w:r>
    </w:p>
    <w:p>
      <w:r>
        <w:t>Alle bevindingen uit de veiligheidsstudie worden gedocumenteerd in het MoC-dossier. De resultaten bevatten minimaal: geïdentificeerde gevaren, beoordeelde risico's, aanbevolen maatregelen en openstaande punten. De documentatie wordt opgenomen in het MoC-register (PM_VBS05_05) [8].</w:t>
      </w:r>
    </w:p>
    <w:p>
      <w:pPr>
        <w:pStyle w:val="Heading2"/>
      </w:pPr>
      <w:r>
        <w:t>3.5 Fase 5: Risicobeoordeling</w:t>
      </w:r>
    </w:p>
    <w:p>
      <w:pPr>
        <w:pStyle w:val="Heading3"/>
      </w:pPr>
      <w:r>
        <w:t>3.5.1 Identificatie gevaren</w:t>
      </w:r>
    </w:p>
    <w:p>
      <w:r>
        <w:t>Het MoC-team identificeert alle gevaren die voortvloeien uit de voorgenomen wijziging. Dit omvat gevaren gerelateerd aan [4]:</w:t>
      </w:r>
    </w:p>
    <w:p>
      <w:pPr>
        <w:pStyle w:val="ListBullet"/>
      </w:pPr>
      <w:r>
        <w:t>Gevaarlijke stoffen (chemische, fysische, toxicologische eigenschappen)</w:t>
      </w:r>
    </w:p>
    <w:p>
      <w:pPr>
        <w:pStyle w:val="ListBullet"/>
      </w:pPr>
      <w:r>
        <w:t>Procesomstandigheden (druk, temperatuur, debiet, concentraties)</w:t>
      </w:r>
    </w:p>
    <w:p>
      <w:pPr>
        <w:pStyle w:val="ListBullet"/>
      </w:pPr>
      <w:r>
        <w:t>Apparatuur en materiaal (mechanische integriteit, corrosie, erosie)</w:t>
      </w:r>
    </w:p>
    <w:p>
      <w:pPr>
        <w:pStyle w:val="ListBullet"/>
      </w:pPr>
      <w:r>
        <w:t>Menselijke factoren (bediening, onderhoud, noodprocedures)</w:t>
      </w:r>
    </w:p>
    <w:p>
      <w:pPr>
        <w:pStyle w:val="ListBullet"/>
      </w:pPr>
      <w:r>
        <w:t>Externe factoren (weer, aardbeving, externe impact)</w:t>
      </w:r>
    </w:p>
    <w:p>
      <w:pPr>
        <w:pStyle w:val="Heading3"/>
      </w:pPr>
      <w:r>
        <w:t>3.5.2 Risicobeoordeling voor en na maatregelen</w:t>
      </w:r>
    </w:p>
    <w:p>
      <w:r>
        <w:t>Per geïdentificeerd gevaar wordt het risico beoordeeld vóór en ná toepassing van voorgestelde risicobeheersmaatregelen. De risicomatrix van VBS Element II (PM_VBS02_XX) [4] wordt hiervoor gebruikt. De beoordeling omvat:</w:t>
      </w:r>
    </w:p>
    <w:p>
      <w:pPr>
        <w:pStyle w:val="ListBullet"/>
      </w:pPr>
      <w:r>
        <w:t>Waarschijnlijkheid van het optreden van het ongeval (1–5 schaal)</w:t>
      </w:r>
    </w:p>
    <w:p>
      <w:pPr>
        <w:pStyle w:val="ListBullet"/>
      </w:pPr>
      <w:r>
        <w:t>Ernst van de mogelijke gevolgen (1–5 schaal)</w:t>
      </w:r>
    </w:p>
    <w:p>
      <w:pPr>
        <w:pStyle w:val="ListBullet"/>
      </w:pPr>
      <w:r>
        <w:t>Risicoklasse (1–4) conform de risicomatrix</w:t>
      </w:r>
    </w:p>
    <w:p>
      <w:pPr>
        <w:pStyle w:val="ListBullet"/>
      </w:pPr>
      <w:r>
        <w:t>Residueel risico na toepassing van maatregelen</w:t>
      </w:r>
    </w:p>
    <w:p>
      <w:pPr>
        <w:pStyle w:val="Heading3"/>
      </w:pPr>
      <w:r>
        <w:t>3.5.3 Methodieken</w:t>
      </w:r>
    </w:p>
    <w:p>
      <w:r>
        <w:t>De volgende risicobeoordelingsmethodieken kunnen worden ingezet, afhankelijk van de aard van de wijziging [4][10]:</w:t>
      </w:r>
    </w:p>
    <w:p>
      <w:r>
        <w:rPr>
          <w:rFonts w:ascii="Calibri" w:hAnsi="Calibri"/>
          <w:b/>
          <w:sz w:val="22"/>
        </w:rPr>
        <w:t xml:space="preserve">RI&amp;E (Risico-Inventarisatie &amp; -Evaluatie): </w:t>
      </w:r>
      <w:r>
        <w:rPr>
          <w:rFonts w:ascii="Calibri" w:hAnsi="Calibri"/>
          <w:sz w:val="22"/>
        </w:rPr>
        <w:t>Bredere inventarisatie van risico's op werkplekniveau.</w:t>
      </w:r>
    </w:p>
    <w:p>
      <w:r>
        <w:rPr>
          <w:rFonts w:ascii="Calibri" w:hAnsi="Calibri"/>
          <w:b/>
          <w:sz w:val="22"/>
        </w:rPr>
        <w:t xml:space="preserve">TRA (Task Risk Analysis): </w:t>
      </w:r>
      <w:r>
        <w:rPr>
          <w:rFonts w:ascii="Calibri" w:hAnsi="Calibri"/>
          <w:sz w:val="22"/>
        </w:rPr>
        <w:t>Taakgerichte risicoanalyse voor specifieke werkzaamheden.</w:t>
      </w:r>
    </w:p>
    <w:p>
      <w:r>
        <w:rPr>
          <w:rFonts w:ascii="Calibri" w:hAnsi="Calibri"/>
          <w:b/>
          <w:sz w:val="22"/>
        </w:rPr>
        <w:t xml:space="preserve">QRA (Quantitative Risk Assessment): </w:t>
      </w:r>
      <w:r>
        <w:rPr>
          <w:rFonts w:ascii="Calibri" w:hAnsi="Calibri"/>
          <w:sz w:val="22"/>
        </w:rPr>
        <w:t>Kwantitatieve risicoanalyse voor complexe, hoog-risico wijzigingen.</w:t>
      </w:r>
    </w:p>
    <w:p>
      <w:r>
        <w:rPr>
          <w:rFonts w:ascii="Calibri" w:hAnsi="Calibri"/>
          <w:b/>
          <w:sz w:val="22"/>
        </w:rPr>
        <w:t xml:space="preserve">BowTie-analyse: </w:t>
      </w:r>
      <w:r>
        <w:rPr>
          <w:rFonts w:ascii="Calibri" w:hAnsi="Calibri"/>
          <w:sz w:val="22"/>
        </w:rPr>
        <w:t>Visuele weergave van dreigingen, barrières en gevolgen.</w:t>
      </w:r>
    </w:p>
    <w:p>
      <w:r>
        <w:t>De resultaten van bestaande analyses (FMECA, HAZOP) uit VBS Element II worden als input meegenomen [4].</w:t>
      </w:r>
    </w:p>
    <w:p>
      <w:pPr>
        <w:pStyle w:val="Heading2"/>
      </w:pPr>
      <w:r>
        <w:t>3.6 Fase 6: Vaststellen Maatregelen &amp; Acties</w:t>
      </w:r>
    </w:p>
    <w:p>
      <w:pPr>
        <w:pStyle w:val="Heading3"/>
      </w:pPr>
      <w:r>
        <w:t>3.6.1 Vertaling risico's naar maatregelen</w:t>
      </w:r>
    </w:p>
    <w:p>
      <w:r>
        <w:t>Alle geïdentificeerde risico's worden vertaald naar concrete risicobeheersmaatregelen conform de hiërarchie van maatregelen [9]:</w:t>
      </w:r>
    </w:p>
    <w:p>
      <w:pPr>
        <w:pStyle w:val="ListNumber"/>
      </w:pPr>
      <w:r>
        <w:t>1. Eliminatie — het gevaar volledig wegnemen</w:t>
      </w:r>
    </w:p>
    <w:p>
      <w:pPr>
        <w:pStyle w:val="ListNumber"/>
      </w:pPr>
      <w:r>
        <w:t>2. Substitutie — het gevaar vervangen door een minder gevaarlijk alternatief</w:t>
      </w:r>
    </w:p>
    <w:p>
      <w:pPr>
        <w:pStyle w:val="ListNumber"/>
      </w:pPr>
      <w:r>
        <w:t>3. Technische maatregelen — engineering controls (barrières, interlocks, overdrukbeveiliging)</w:t>
      </w:r>
    </w:p>
    <w:p>
      <w:pPr>
        <w:pStyle w:val="ListNumber"/>
      </w:pPr>
      <w:r>
        <w:t>4. Organisatorische maatregelen — procedures, training, toezicht</w:t>
      </w:r>
    </w:p>
    <w:p>
      <w:pPr>
        <w:pStyle w:val="ListNumber"/>
      </w:pPr>
      <w:r>
        <w:t>5. Persoonlijke beschermingsmiddelen — PBM (als laatste middel)</w:t>
      </w:r>
    </w:p>
    <w:p>
      <w:pPr>
        <w:pStyle w:val="Heading3"/>
      </w:pPr>
      <w:r>
        <w:t>3.6.2 Actiepunten</w:t>
      </w:r>
    </w:p>
    <w:p>
      <w:r>
        <w:t>Elke maatregel wordt vastgelegd als actiepunt met de volgende attributen:</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center"/>
            </w:pPr>
            <w:r/>
            <w:r>
              <w:rPr>
                <w:rFonts w:ascii="Calibri" w:hAnsi="Calibri"/>
                <w:b/>
                <w:color w:val="FFFFFF"/>
                <w:sz w:val="20"/>
              </w:rPr>
              <w:t>Actiepunt</w:t>
            </w:r>
          </w:p>
        </w:tc>
        <w:tc>
          <w:tcPr>
            <w:tcW w:type="dxa" w:w="2268"/>
            <w:shd w:fill="003366"/>
          </w:tcPr>
          <w:p>
            <w:pPr>
              <w:jc w:val="center"/>
            </w:pPr>
            <w:r/>
            <w:r>
              <w:rPr>
                <w:rFonts w:ascii="Calibri" w:hAnsi="Calibri"/>
                <w:b/>
                <w:color w:val="FFFFFF"/>
                <w:sz w:val="20"/>
              </w:rPr>
              <w:t>Eigenaar</w:t>
            </w:r>
          </w:p>
        </w:tc>
        <w:tc>
          <w:tcPr>
            <w:tcW w:type="dxa" w:w="2268"/>
            <w:shd w:fill="003366"/>
          </w:tcPr>
          <w:p>
            <w:pPr>
              <w:jc w:val="center"/>
            </w:pPr>
            <w:r/>
            <w:r>
              <w:rPr>
                <w:rFonts w:ascii="Calibri" w:hAnsi="Calibri"/>
                <w:b/>
                <w:color w:val="FFFFFF"/>
                <w:sz w:val="20"/>
              </w:rPr>
              <w:t>Deadline</w:t>
            </w:r>
          </w:p>
        </w:tc>
        <w:tc>
          <w:tcPr>
            <w:tcW w:type="dxa" w:w="2268"/>
            <w:shd w:fill="003366"/>
          </w:tcPr>
          <w:p>
            <w:pPr>
              <w:jc w:val="center"/>
            </w:pPr>
            <w:r/>
            <w:r>
              <w:rPr>
                <w:rFonts w:ascii="Calibri" w:hAnsi="Calibri"/>
                <w:b/>
                <w:color w:val="FFFFFF"/>
                <w:sz w:val="20"/>
              </w:rPr>
              <w:t>Prioriteit</w:t>
            </w:r>
          </w:p>
        </w:tc>
      </w:tr>
      <w:tr>
        <w:tc>
          <w:tcPr>
            <w:tcW w:type="dxa" w:w="2268"/>
          </w:tcPr>
          <w:p>
            <w:r/>
            <w:r>
              <w:rPr>
                <w:rFonts w:ascii="Calibri" w:hAnsi="Calibri"/>
                <w:color w:val="1F2937"/>
                <w:sz w:val="20"/>
              </w:rPr>
              <w:t>Bijv: Update P&amp;ID 2024-A-001</w:t>
            </w:r>
          </w:p>
        </w:tc>
        <w:tc>
          <w:tcPr>
            <w:tcW w:type="dxa" w:w="2268"/>
          </w:tcPr>
          <w:p>
            <w:r/>
            <w:r>
              <w:rPr>
                <w:rFonts w:ascii="Calibri" w:hAnsi="Calibri"/>
                <w:color w:val="1F2937"/>
                <w:sz w:val="20"/>
              </w:rPr>
              <w:t>Proces Engineering</w:t>
            </w:r>
          </w:p>
        </w:tc>
        <w:tc>
          <w:tcPr>
            <w:tcW w:type="dxa" w:w="2268"/>
          </w:tcPr>
          <w:p>
            <w:r/>
            <w:r>
              <w:rPr>
                <w:rFonts w:ascii="Calibri" w:hAnsi="Calibri"/>
                <w:color w:val="1F2937"/>
                <w:sz w:val="20"/>
              </w:rPr>
              <w:t>Voor ingebruikname</w:t>
            </w:r>
          </w:p>
        </w:tc>
        <w:tc>
          <w:tcPr>
            <w:tcW w:type="dxa" w:w="2268"/>
          </w:tcPr>
          <w:p>
            <w:r/>
            <w:r>
              <w:rPr>
                <w:rFonts w:ascii="Calibri" w:hAnsi="Calibri"/>
                <w:color w:val="1F2937"/>
                <w:sz w:val="20"/>
              </w:rPr>
              <w:t>Hoog</w:t>
            </w:r>
          </w:p>
        </w:tc>
      </w:tr>
      <w:tr>
        <w:tc>
          <w:tcPr>
            <w:tcW w:type="dxa" w:w="2268"/>
          </w:tcPr>
          <w:p>
            <w:r/>
            <w:r>
              <w:rPr>
                <w:rFonts w:ascii="Calibri" w:hAnsi="Calibri"/>
                <w:color w:val="1F2937"/>
                <w:sz w:val="20"/>
              </w:rPr>
              <w:t>Bijv: Herschrijf SOP-OPS-012</w:t>
            </w:r>
          </w:p>
        </w:tc>
        <w:tc>
          <w:tcPr>
            <w:tcW w:type="dxa" w:w="2268"/>
          </w:tcPr>
          <w:p>
            <w:r/>
            <w:r>
              <w:rPr>
                <w:rFonts w:ascii="Calibri" w:hAnsi="Calibri"/>
                <w:color w:val="1F2937"/>
                <w:sz w:val="20"/>
              </w:rPr>
              <w:t>Operations</w:t>
            </w:r>
          </w:p>
        </w:tc>
        <w:tc>
          <w:tcPr>
            <w:tcW w:type="dxa" w:w="2268"/>
          </w:tcPr>
          <w:p>
            <w:r/>
            <w:r>
              <w:rPr>
                <w:rFonts w:ascii="Calibri" w:hAnsi="Calibri"/>
                <w:color w:val="1F2937"/>
                <w:sz w:val="20"/>
              </w:rPr>
              <w:t>Voor ingebruikname</w:t>
            </w:r>
          </w:p>
        </w:tc>
        <w:tc>
          <w:tcPr>
            <w:tcW w:type="dxa" w:w="2268"/>
          </w:tcPr>
          <w:p>
            <w:r/>
            <w:r>
              <w:rPr>
                <w:rFonts w:ascii="Calibri" w:hAnsi="Calibri"/>
                <w:color w:val="1F2937"/>
                <w:sz w:val="20"/>
              </w:rPr>
              <w:t>Hoog</w:t>
            </w:r>
          </w:p>
        </w:tc>
      </w:tr>
      <w:tr>
        <w:tc>
          <w:tcPr>
            <w:tcW w:type="dxa" w:w="2268"/>
          </w:tcPr>
          <w:p>
            <w:r/>
            <w:r>
              <w:rPr>
                <w:rFonts w:ascii="Calibri" w:hAnsi="Calibri"/>
                <w:color w:val="1F2937"/>
                <w:sz w:val="20"/>
              </w:rPr>
              <w:t>Bijv: Training operators</w:t>
            </w:r>
          </w:p>
        </w:tc>
        <w:tc>
          <w:tcPr>
            <w:tcW w:type="dxa" w:w="2268"/>
          </w:tcPr>
          <w:p>
            <w:r/>
            <w:r>
              <w:rPr>
                <w:rFonts w:ascii="Calibri" w:hAnsi="Calibri"/>
                <w:color w:val="1F2937"/>
                <w:sz w:val="20"/>
              </w:rPr>
              <w:t>Shiftleider</w:t>
            </w:r>
          </w:p>
        </w:tc>
        <w:tc>
          <w:tcPr>
            <w:tcW w:type="dxa" w:w="2268"/>
          </w:tcPr>
          <w:p>
            <w:r/>
            <w:r>
              <w:rPr>
                <w:rFonts w:ascii="Calibri" w:hAnsi="Calibri"/>
                <w:color w:val="1F2937"/>
                <w:sz w:val="20"/>
              </w:rPr>
              <w:t>Uiterlijk 14 dagen na implementatie</w:t>
            </w:r>
          </w:p>
        </w:tc>
        <w:tc>
          <w:tcPr>
            <w:tcW w:type="dxa" w:w="2268"/>
          </w:tcPr>
          <w:p>
            <w:r/>
            <w:r>
              <w:rPr>
                <w:rFonts w:ascii="Calibri" w:hAnsi="Calibri"/>
                <w:color w:val="1F2937"/>
                <w:sz w:val="20"/>
              </w:rPr>
              <w:t>Medium</w:t>
            </w:r>
          </w:p>
        </w:tc>
      </w:tr>
      <w:tr>
        <w:tc>
          <w:tcPr>
            <w:tcW w:type="dxa" w:w="2268"/>
          </w:tcPr>
          <w:p>
            <w:r/>
            <w:r>
              <w:rPr>
                <w:rFonts w:ascii="Calibri" w:hAnsi="Calibri"/>
                <w:color w:val="1F2937"/>
                <w:sz w:val="20"/>
              </w:rPr>
              <w:t>Bijv: Update RI&amp;E</w:t>
            </w:r>
          </w:p>
        </w:tc>
        <w:tc>
          <w:tcPr>
            <w:tcW w:type="dxa" w:w="2268"/>
          </w:tcPr>
          <w:p>
            <w:r/>
            <w:r>
              <w:rPr>
                <w:rFonts w:ascii="Calibri" w:hAnsi="Calibri"/>
                <w:color w:val="1F2937"/>
                <w:sz w:val="20"/>
              </w:rPr>
              <w:t>HSE Manager</w:t>
            </w:r>
          </w:p>
        </w:tc>
        <w:tc>
          <w:tcPr>
            <w:tcW w:type="dxa" w:w="2268"/>
          </w:tcPr>
          <w:p>
            <w:r/>
            <w:r>
              <w:rPr>
                <w:rFonts w:ascii="Calibri" w:hAnsi="Calibri"/>
                <w:color w:val="1F2937"/>
                <w:sz w:val="20"/>
              </w:rPr>
              <w:t>30 dagen na implementatie</w:t>
            </w:r>
          </w:p>
        </w:tc>
        <w:tc>
          <w:tcPr>
            <w:tcW w:type="dxa" w:w="2268"/>
          </w:tcPr>
          <w:p>
            <w:r/>
            <w:r>
              <w:rPr>
                <w:rFonts w:ascii="Calibri" w:hAnsi="Calibri"/>
                <w:color w:val="1F2937"/>
                <w:sz w:val="20"/>
              </w:rPr>
              <w:t>Medium</w:t>
            </w:r>
          </w:p>
        </w:tc>
      </w:tr>
    </w:tbl>
    <w:p>
      <w:pPr>
        <w:pStyle w:val="Heading3"/>
      </w:pPr>
      <w:r>
        <w:t>3.6.3 Go/No-Go beslissing</w:t>
      </w:r>
    </w:p>
    <w:p>
      <w:r>
        <w:t>Het MoC-team brengt een gemotiveerd advies uit over de Go/No-Go beslissing. De goedkeuringsbevoegde neemt de formele beslissing:</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pPr>
              <w:jc w:val="center"/>
            </w:pPr>
            <w:r/>
            <w:r>
              <w:rPr>
                <w:rFonts w:ascii="Calibri" w:hAnsi="Calibri"/>
                <w:b/>
                <w:color w:val="FFFFFF"/>
                <w:sz w:val="20"/>
              </w:rPr>
              <w:t>Risicoklasse wijziging</w:t>
            </w:r>
          </w:p>
        </w:tc>
        <w:tc>
          <w:tcPr>
            <w:tcW w:type="dxa" w:w="4536"/>
            <w:shd w:fill="003366"/>
          </w:tcPr>
          <w:p>
            <w:pPr>
              <w:jc w:val="center"/>
            </w:pPr>
            <w:r/>
            <w:r>
              <w:rPr>
                <w:rFonts w:ascii="Calibri" w:hAnsi="Calibri"/>
                <w:b/>
                <w:color w:val="FFFFFF"/>
                <w:sz w:val="20"/>
              </w:rPr>
              <w:t>Goedkeuringsbevoegde</w:t>
            </w:r>
          </w:p>
        </w:tc>
      </w:tr>
      <w:tr>
        <w:tc>
          <w:tcPr>
            <w:tcW w:type="dxa" w:w="4536"/>
          </w:tcPr>
          <w:p>
            <w:r/>
            <w:r>
              <w:rPr>
                <w:rFonts w:ascii="Calibri" w:hAnsi="Calibri"/>
                <w:color w:val="1F2937"/>
                <w:sz w:val="20"/>
              </w:rPr>
              <w:t>1 (Laag)</w:t>
            </w:r>
          </w:p>
        </w:tc>
        <w:tc>
          <w:tcPr>
            <w:tcW w:type="dxa" w:w="4536"/>
          </w:tcPr>
          <w:p>
            <w:r/>
            <w:r>
              <w:rPr>
                <w:rFonts w:ascii="Calibri" w:hAnsi="Calibri"/>
                <w:color w:val="1F2937"/>
                <w:sz w:val="20"/>
              </w:rPr>
              <w:t>Operationeel Management (shiftleider/teamleider)</w:t>
            </w:r>
          </w:p>
        </w:tc>
      </w:tr>
      <w:tr>
        <w:tc>
          <w:tcPr>
            <w:tcW w:type="dxa" w:w="4536"/>
          </w:tcPr>
          <w:p>
            <w:r/>
            <w:r>
              <w:rPr>
                <w:rFonts w:ascii="Calibri" w:hAnsi="Calibri"/>
                <w:color w:val="1F2937"/>
                <w:sz w:val="20"/>
              </w:rPr>
              <w:t>2 (Matig)</w:t>
            </w:r>
          </w:p>
        </w:tc>
        <w:tc>
          <w:tcPr>
            <w:tcW w:type="dxa" w:w="4536"/>
          </w:tcPr>
          <w:p>
            <w:r/>
            <w:r>
              <w:rPr>
                <w:rFonts w:ascii="Calibri" w:hAnsi="Calibri"/>
                <w:color w:val="1F2937"/>
                <w:sz w:val="20"/>
              </w:rPr>
              <w:t>Operationeel Management (afdelingshoofd)</w:t>
            </w:r>
          </w:p>
        </w:tc>
      </w:tr>
      <w:tr>
        <w:tc>
          <w:tcPr>
            <w:tcW w:type="dxa" w:w="4536"/>
          </w:tcPr>
          <w:p>
            <w:r/>
            <w:r>
              <w:rPr>
                <w:rFonts w:ascii="Calibri" w:hAnsi="Calibri"/>
                <w:color w:val="1F2937"/>
                <w:sz w:val="20"/>
              </w:rPr>
              <w:t>3 (Hoog)</w:t>
            </w:r>
          </w:p>
        </w:tc>
        <w:tc>
          <w:tcPr>
            <w:tcW w:type="dxa" w:w="4536"/>
          </w:tcPr>
          <w:p>
            <w:r/>
            <w:r>
              <w:rPr>
                <w:rFonts w:ascii="Calibri" w:hAnsi="Calibri"/>
                <w:color w:val="1F2937"/>
                <w:sz w:val="20"/>
              </w:rPr>
              <w:t>Directie</w:t>
            </w:r>
          </w:p>
        </w:tc>
      </w:tr>
      <w:tr>
        <w:tc>
          <w:tcPr>
            <w:tcW w:type="dxa" w:w="4536"/>
          </w:tcPr>
          <w:p>
            <w:r/>
            <w:r>
              <w:rPr>
                <w:rFonts w:ascii="Calibri" w:hAnsi="Calibri"/>
                <w:color w:val="1F2937"/>
                <w:sz w:val="20"/>
              </w:rPr>
              <w:t>4 (Zeer hoog)</w:t>
            </w:r>
          </w:p>
        </w:tc>
        <w:tc>
          <w:tcPr>
            <w:tcW w:type="dxa" w:w="4536"/>
          </w:tcPr>
          <w:p>
            <w:r/>
            <w:r>
              <w:rPr>
                <w:rFonts w:ascii="Calibri" w:hAnsi="Calibri"/>
                <w:color w:val="1F2937"/>
                <w:sz w:val="20"/>
              </w:rPr>
              <w:t>Directie + externe validatie</w:t>
            </w:r>
          </w:p>
        </w:tc>
      </w:tr>
    </w:tbl>
    <w:p>
      <w:r>
        <w:t>Bij een No-Go beslissing wordt de wijziging teruggestuurd naar Fase 5 of Fase 6 met specifieke feedback. De aanvrager wordt schriftelijk geïnformeerd over de beslissing en de argumentatie.</w:t>
      </w:r>
    </w:p>
    <w:p>
      <w:pPr>
        <w:pStyle w:val="Heading2"/>
      </w:pPr>
      <w:r>
        <w:t>3.7 Fase 7: Uitvoering &amp; Implementatie</w:t>
      </w:r>
    </w:p>
    <w:p>
      <w:pPr>
        <w:pStyle w:val="Heading3"/>
      </w:pPr>
      <w:r>
        <w:t>3.7.1 Communicatie</w:t>
      </w:r>
    </w:p>
    <w:p>
      <w:r>
        <w:t>Vóór aanvang van de implementatie worden alle betrokken partijen geïnformeerd over de wijziging, de genomen maatregelen en de eventuele nieuwe werkinstructies. Communicatiekanalen:</w:t>
      </w:r>
    </w:p>
    <w:p>
      <w:pPr>
        <w:pStyle w:val="ListBullet"/>
      </w:pPr>
      <w:r>
        <w:t>Ochttendoverleg / shiftoverdracht</w:t>
      </w:r>
    </w:p>
    <w:p>
      <w:pPr>
        <w:pStyle w:val="ListBullet"/>
      </w:pPr>
      <w:r>
        <w:t>Toolbox meeting voor uitvoerend personeel</w:t>
      </w:r>
    </w:p>
    <w:p>
      <w:pPr>
        <w:pStyle w:val="ListBullet"/>
      </w:pPr>
      <w:r>
        <w:t>E-mailnotificatie aan relevante afdelingen</w:t>
      </w:r>
    </w:p>
    <w:p>
      <w:pPr>
        <w:pStyle w:val="ListBullet"/>
      </w:pPr>
      <w:r>
        <w:t>Update van het MoC-dashboard (indien beschikbaar)</w:t>
      </w:r>
    </w:p>
    <w:p>
      <w:pPr>
        <w:pStyle w:val="Heading3"/>
      </w:pPr>
      <w:r>
        <w:t>3.7.2 Training &amp; Procedures</w:t>
      </w:r>
    </w:p>
    <w:p>
      <w:r>
        <w:t>Indien de wijziging nieuwe of aangepaste procedures, werkmethoden of bedieningshandelingen met zich meebrengt, wordt adequaat training verzorgd vóór ingebruikname. De training wordt gedocumenteerd in het MoC-dossier.</w:t>
      </w:r>
    </w:p>
    <w:p>
      <w:pPr>
        <w:pStyle w:val="Heading3"/>
      </w:pPr>
      <w:r>
        <w:t>3.7.3 Werkvergunning</w:t>
      </w:r>
    </w:p>
    <w:p>
      <w:r>
        <w:t>Indien de implementatie werkzaamheden vereist die vallen onder het Control of Work (CoW) systeem, wordt een werkvergunning aangevraagd conform VBS Element III (PM_VBS03_XX) [5]. De MoC-goedkeuring is een vereiste input voor de werkvergunningaanvraag.</w:t>
      </w:r>
    </w:p>
    <w:p>
      <w:pPr>
        <w:pStyle w:val="Heading3"/>
      </w:pPr>
      <w:r>
        <w:t>3.7.4 Fysieke implementatie</w:t>
      </w:r>
    </w:p>
    <w:p>
      <w:r>
        <w:t>De fysieke wijziging wordt uitgevoerd conform de goedgekeurde specificaties en maatregelen. De aanvrager (of diens gemandateerde) is verantwoordelijk voor de feitelijke uitvoering. Afwijkingen van het goedgekeurde plan vereisen een nieuwe MoC-beoordeling of een formele wijziging op het MoC-dossier.</w:t>
      </w:r>
    </w:p>
    <w:p>
      <w:pPr>
        <w:pStyle w:val="Heading2"/>
      </w:pPr>
      <w:r>
        <w:t>3.8 Fase 8: PSSR (Pre-Startup Safety Review)</w:t>
      </w:r>
    </w:p>
    <w:p>
      <w:pPr>
        <w:pStyle w:val="Heading3"/>
      </w:pPr>
      <w:r>
        <w:t>3.8.1 Doel PSSR</w:t>
      </w:r>
    </w:p>
    <w:p>
      <w:r>
        <w:t>De Pre-Startup Safety Review (PSSR) is een systematische controle vóór ingebruikname van de gewijzigde installatie, systeem of procedure. De PSSR verifieert dat [5]:</w:t>
      </w:r>
    </w:p>
    <w:p>
      <w:pPr>
        <w:pStyle w:val="ListBullet"/>
      </w:pPr>
      <w:r>
        <w:t>De fysieke implementatie conform het goedgekeurde ontwerp is uitgevoerd</w:t>
      </w:r>
    </w:p>
    <w:p>
      <w:pPr>
        <w:pStyle w:val="ListBullet"/>
      </w:pPr>
      <w:r>
        <w:t>Alle risicobeheersmaatregelen zijn geïmplementeerd en functioneel</w:t>
      </w:r>
    </w:p>
    <w:p>
      <w:pPr>
        <w:pStyle w:val="ListBullet"/>
      </w:pPr>
      <w:r>
        <w:t>Operationele en onderhoudsprocedures zijn bijgewerkt</w:t>
      </w:r>
    </w:p>
    <w:p>
      <w:pPr>
        <w:pStyle w:val="ListBullet"/>
      </w:pPr>
      <w:r>
        <w:t>Training is voltooid en gedocumenteerd</w:t>
      </w:r>
    </w:p>
    <w:p>
      <w:pPr>
        <w:pStyle w:val="ListBullet"/>
      </w:pPr>
      <w:r>
        <w:t>Noodprocedures zijn aangepast indien nodig</w:t>
      </w:r>
    </w:p>
    <w:p>
      <w:pPr>
        <w:pStyle w:val="ListBullet"/>
      </w:pPr>
      <w:r>
        <w:t>Documentatie (P&amp;ID's, RI&amp;E, SIL-calculaties) is bijgewerkt</w:t>
      </w:r>
    </w:p>
    <w:p>
      <w:pPr>
        <w:pStyle w:val="Heading3"/>
      </w:pPr>
      <w:r>
        <w:t>3.8.2 Checklist afname</w:t>
      </w:r>
    </w:p>
    <w:p>
      <w:r>
        <w:t>De PSSR wordt uitgevoerd aan de hand van de PSSR-checklist (PM_VBS05_04, Formulier FM-03) [7]. De checklist wordt afgewerkt door het MoC-team, eventueel aangevuld met operationeel personeel dat de installatie in gebruik zal nemen.</w:t>
      </w:r>
    </w:p>
    <w:p>
      <w:pPr>
        <w:pStyle w:val="Heading3"/>
      </w:pPr>
      <w:r>
        <w:t>3.8.3 Goedkeuring voor ingebruikname</w:t>
      </w:r>
    </w:p>
    <w:p>
      <w:r>
        <w:t>Na afronding van de PSSR geeft de MoC-coördinator (of diens gemandateerde) formele goedkeuring voor ingebruikname. Bij openstaande actiepunten wordt een risicogefundeerde afweging gemaakt of ingebruikname verantwoord is met voorwaarden. De goedkeuring wordt gedocumenteerd in het MoC-dossier.</w:t>
      </w:r>
    </w:p>
    <w:p>
      <w:pPr>
        <w:pStyle w:val="Heading2"/>
      </w:pPr>
      <w:r>
        <w:t>3.9 Fase 9: Evaluatie &amp; Afsluiting</w:t>
      </w:r>
    </w:p>
    <w:p>
      <w:pPr>
        <w:pStyle w:val="Heading3"/>
      </w:pPr>
      <w:r>
        <w:t>3.9.1 Evaluatie</w:t>
      </w:r>
    </w:p>
    <w:p>
      <w:r>
        <w:t>Na implementatie en ingebruikname vindt een evaluatie plaats om te bevestigen dat [1]:</w:t>
      </w:r>
    </w:p>
    <w:p>
      <w:pPr>
        <w:pStyle w:val="ListBullet"/>
      </w:pPr>
      <w:r>
        <w:t>De wijziging functioneert zoals beoogd</w:t>
      </w:r>
    </w:p>
    <w:p>
      <w:pPr>
        <w:pStyle w:val="ListBullet"/>
      </w:pPr>
      <w:r>
        <w:t>Geen onbedoelde neveneffecten zijn opgetreden</w:t>
      </w:r>
    </w:p>
    <w:p>
      <w:pPr>
        <w:pStyle w:val="ListBullet"/>
      </w:pPr>
      <w:r>
        <w:t>Het risiconiveau binnen de acceptatiecriteria blijft</w:t>
      </w:r>
    </w:p>
    <w:p>
      <w:pPr>
        <w:pStyle w:val="ListBullet"/>
      </w:pPr>
      <w:r>
        <w:t>Alle documentatie is bijgewerkt (P&amp;ID's, procedures, RI&amp;E, enz.)</w:t>
      </w:r>
    </w:p>
    <w:p>
      <w:pPr>
        <w:pStyle w:val="ListBullet"/>
      </w:pPr>
      <w:r>
        <w:t>Alle actiepunten zijn afgerond of hebben een gedefinieerde opvolging</w:t>
      </w:r>
    </w:p>
    <w:p>
      <w:r>
        <w:t>De evaluatie vindt plaats binnen de in de goedkeuring vastgestelde termijn, doch uiterlijk 90 dagen na implementatie [10]. De evaluatie wordt besproken in het ochtendoverleg of een specifiek operationeel overleg.</w:t>
      </w:r>
    </w:p>
    <w:p>
      <w:pPr>
        <w:pStyle w:val="Heading3"/>
      </w:pPr>
      <w:r>
        <w:t>3.9.2 Bewaking openstaande acties</w:t>
      </w:r>
    </w:p>
    <w:p>
      <w:r>
        <w:t>Openstaande actiepunten die niet vóór de evaluatie zijn afgerond, worden overgeheveld naar het actiepuntenregister en bewaakt door de MoC-coördinator. De MoC-coördinator rapporteert de status maandelijks aan directie [1].</w:t>
      </w:r>
    </w:p>
    <w:p>
      <w:pPr>
        <w:pStyle w:val="Heading3"/>
      </w:pPr>
      <w:r>
        <w:t>3.9.3 Formele afsluiting</w:t>
      </w:r>
    </w:p>
    <w:p>
      <w:r>
        <w:t>Het MoC-team sluit de MoC formeel af wanneer:</w:t>
      </w:r>
    </w:p>
    <w:p>
      <w:pPr>
        <w:pStyle w:val="ListBullet"/>
      </w:pPr>
      <w:r>
        <w:t>De evaluatie positief is uitgevallen</w:t>
      </w:r>
    </w:p>
    <w:p>
      <w:pPr>
        <w:pStyle w:val="ListBullet"/>
      </w:pPr>
      <w:r>
        <w:t>Alle kritieke actiepunten zijn afgerond</w:t>
      </w:r>
    </w:p>
    <w:p>
      <w:pPr>
        <w:pStyle w:val="ListBullet"/>
      </w:pPr>
      <w:r>
        <w:t>Alle documentatie is bijgewerkt en gearchiveerd</w:t>
      </w:r>
    </w:p>
    <w:p>
      <w:r>
        <w:t>De formele afsluiting wordt vastgelegd in het MoC-register (PM_VBS05_05) [8] met datum, handtekening MoC-coördinator en eventuele resterende opmerkingen.</w:t>
      </w:r>
    </w:p>
    <w:p>
      <w:pPr>
        <w:pStyle w:val="Heading3"/>
      </w:pPr>
      <w:r>
        <w:t>3.9.4 Archivering</w:t>
      </w:r>
    </w:p>
    <w:p>
      <w:r>
        <w:t>Het volledige MoC-dossier wordt gearchiveerd conform de vereisten uit hoofdstuk 6 van dit document. De bewaartermijn bedraagt minimaal 10 jaar [3].</w:t>
      </w:r>
    </w:p>
    <w:p>
      <w:r>
        <w:br w:type="page"/>
      </w:r>
    </w:p>
    <w:p>
      <w:pPr>
        <w:pStyle w:val="Heading1"/>
      </w:pPr>
      <w:r>
        <w:t>4. Spoedprocedure (Tijdelijke Wijzigingen)</w:t>
      </w:r>
    </w:p>
    <w:p>
      <w:pPr>
        <w:pStyle w:val="Heading2"/>
      </w:pPr>
      <w:r>
        <w:t>4.1 Criteria voor spoedeisendheid</w:t>
      </w:r>
    </w:p>
    <w:p>
      <w:r>
        <w:t>De spoedprocedure wordt geactiveerd wanneer aan alle vier de volgende voorwaarden wordt voldaan (PM_VBS05_01, paragraaf 4.4) [1]:</w:t>
      </w:r>
    </w:p>
    <w:p>
      <w:pPr>
        <w:pStyle w:val="ListNumber"/>
      </w:pPr>
      <w:r>
        <w:t>1. Acuut risico: Er is een onmiddellijk risico voor veiligheid, gezondheid of milieu dat direct handelen vereist en dat niet kan wachten op het reguliere MoC-proces.</w:t>
      </w:r>
    </w:p>
    <w:p>
      <w:pPr>
        <w:pStyle w:val="ListNumber"/>
      </w:pPr>
      <w:r>
        <w:t>2. Geen verhoging risico: De voorgenomen wijziging leidt niet tot een hoger risico dan het risico dat wordt afgewenden.</w:t>
      </w:r>
    </w:p>
    <w:p>
      <w:pPr>
        <w:pStyle w:val="ListNumber"/>
      </w:pPr>
      <w:r>
        <w:t>3. Tijdelijk karakter: De wijziging is aard en omvang tijdelijk (maximaal 30 werkdagen geldigheid). Na afloop wordt de oorspronkelijke situatie hersteld.</w:t>
      </w:r>
    </w:p>
    <w:p>
      <w:pPr>
        <w:pStyle w:val="ListNumber"/>
      </w:pPr>
      <w:r>
        <w:t>4. Onaanvaardbare vertraging: Het doorlopen van het reguliere MoC-proces leidt tot onaanvaardbare vertraging met potentieel ernstige gevolgen.</w:t>
      </w:r>
    </w:p>
    <w:p>
      <w:pPr>
        <w:pStyle w:val="Heading2"/>
      </w:pPr>
      <w:r>
        <w:t>4.2 Versneld proces</w:t>
      </w:r>
    </w:p>
    <w:p>
      <w:r>
        <w:t>Het spoedproces kent een versimpelde flow ten opzichte van het reguliere proces:</w:t>
      </w:r>
    </w:p>
    <w:p>
      <w:pPr>
        <w:pStyle w:val="ListBullet"/>
      </w:pPr>
      <w:r>
        <w:t>Stap 1: Directe mondelinge goedkeuring door de MoC-coördinator of, bij afwezigheid, de dienstdoende shiftleider. De goedkeuring wordt zo snel mogelijk schriftelijk vastgelegd.</w:t>
      </w:r>
    </w:p>
    <w:p>
      <w:pPr>
        <w:pStyle w:val="ListBullet"/>
      </w:pPr>
      <w:r>
        <w:t>Stap 2: Uitvoering van de wijziging met toepassing van adequate risicobeheersmaatregelen. De uitvoerende documenteert de genomen maatregelen.</w:t>
      </w:r>
    </w:p>
    <w:p>
      <w:pPr>
        <w:pStyle w:val="ListBullet"/>
      </w:pPr>
      <w:r>
        <w:t>Stap 3: Achteraf formele MoC-doorloop binnen 5 werkdagen na de spoedgoedkeuring. Het volledige MoC-dossier wordt alsnog opgebouwd conform de fasen 3–9.</w:t>
      </w:r>
    </w:p>
    <w:p>
      <w:pPr>
        <w:pStyle w:val="ListBullet"/>
      </w:pPr>
      <w:r>
        <w:t>Stap 4: Evaluatie en formele afsluiting conform het reguliere proces.</w:t>
      </w:r>
    </w:p>
    <w:p>
      <w:pPr>
        <w:pStyle w:val="Heading2"/>
      </w:pPr>
      <w:r>
        <w:t>4.3 Termijn achterafformalisering</w:t>
      </w:r>
    </w:p>
    <w:p>
      <w:r>
        <w:t>De achterafformalisering dient binnen 5 werkdagen na de spoedgoedkeuring te zijn afgerond. Indien dit niet haalbaar is, rapporteert de MoC-coördinator dit aan de directie met een gemotiveerde planning voor alsnogse formalisering.</w:t>
      </w:r>
    </w:p>
    <w:p>
      <w:pPr>
        <w:pStyle w:val="Heading2"/>
      </w:pPr>
      <w:r>
        <w:t>4.4 Verantwoordelijkheden bij spoed</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pPr>
              <w:jc w:val="center"/>
            </w:pPr>
            <w:r/>
            <w:r>
              <w:rPr>
                <w:rFonts w:ascii="Calibri" w:hAnsi="Calibri"/>
                <w:b/>
                <w:color w:val="FFFFFF"/>
                <w:sz w:val="20"/>
              </w:rPr>
              <w:t>Rol</w:t>
            </w:r>
          </w:p>
        </w:tc>
        <w:tc>
          <w:tcPr>
            <w:tcW w:type="dxa" w:w="4536"/>
            <w:shd w:fill="003366"/>
          </w:tcPr>
          <w:p>
            <w:pPr>
              <w:jc w:val="center"/>
            </w:pPr>
            <w:r/>
            <w:r>
              <w:rPr>
                <w:rFonts w:ascii="Calibri" w:hAnsi="Calibri"/>
                <w:b/>
                <w:color w:val="FFFFFF"/>
                <w:sz w:val="20"/>
              </w:rPr>
              <w:t>Verantwoordelijkheid</w:t>
            </w:r>
          </w:p>
        </w:tc>
      </w:tr>
      <w:tr>
        <w:tc>
          <w:tcPr>
            <w:tcW w:type="dxa" w:w="4536"/>
          </w:tcPr>
          <w:p>
            <w:r/>
            <w:r>
              <w:rPr>
                <w:rFonts w:ascii="Calibri" w:hAnsi="Calibri"/>
                <w:color w:val="1F2937"/>
                <w:sz w:val="20"/>
              </w:rPr>
              <w:t>Aanvrager</w:t>
            </w:r>
          </w:p>
        </w:tc>
        <w:tc>
          <w:tcPr>
            <w:tcW w:type="dxa" w:w="4536"/>
          </w:tcPr>
          <w:p>
            <w:r/>
            <w:r>
              <w:rPr>
                <w:rFonts w:ascii="Calibri" w:hAnsi="Calibri"/>
                <w:color w:val="1F2937"/>
                <w:sz w:val="20"/>
              </w:rPr>
              <w:t>Identificeert spoedkarakter en motiveert waarom regulier proces niet haalbaar is</w:t>
            </w:r>
          </w:p>
        </w:tc>
      </w:tr>
      <w:tr>
        <w:tc>
          <w:tcPr>
            <w:tcW w:type="dxa" w:w="4536"/>
          </w:tcPr>
          <w:p>
            <w:r/>
            <w:r>
              <w:rPr>
                <w:rFonts w:ascii="Calibri" w:hAnsi="Calibri"/>
                <w:color w:val="1F2937"/>
                <w:sz w:val="20"/>
              </w:rPr>
              <w:t>MoC-coördinator / Shiftleider</w:t>
            </w:r>
          </w:p>
        </w:tc>
        <w:tc>
          <w:tcPr>
            <w:tcW w:type="dxa" w:w="4536"/>
          </w:tcPr>
          <w:p>
            <w:r/>
            <w:r>
              <w:rPr>
                <w:rFonts w:ascii="Calibri" w:hAnsi="Calibri"/>
                <w:color w:val="1F2937"/>
                <w:sz w:val="20"/>
              </w:rPr>
              <w:t>Beoordeelt criteria, geeft spoedgoedkeuring, start achteraftrack</w:t>
            </w:r>
          </w:p>
        </w:tc>
      </w:tr>
      <w:tr>
        <w:tc>
          <w:tcPr>
            <w:tcW w:type="dxa" w:w="4536"/>
          </w:tcPr>
          <w:p>
            <w:r/>
            <w:r>
              <w:rPr>
                <w:rFonts w:ascii="Calibri" w:hAnsi="Calibri"/>
                <w:color w:val="1F2937"/>
                <w:sz w:val="20"/>
              </w:rPr>
              <w:t>MoC-team</w:t>
            </w:r>
          </w:p>
        </w:tc>
        <w:tc>
          <w:tcPr>
            <w:tcW w:type="dxa" w:w="4536"/>
          </w:tcPr>
          <w:p>
            <w:r/>
            <w:r>
              <w:rPr>
                <w:rFonts w:ascii="Calibri" w:hAnsi="Calibri"/>
                <w:color w:val="1F2937"/>
                <w:sz w:val="20"/>
              </w:rPr>
              <w:t>Voert achteraf formele beoordeling uit binnen 5 werkdagen</w:t>
            </w:r>
          </w:p>
        </w:tc>
      </w:tr>
      <w:tr>
        <w:tc>
          <w:tcPr>
            <w:tcW w:type="dxa" w:w="4536"/>
          </w:tcPr>
          <w:p>
            <w:r/>
            <w:r>
              <w:rPr>
                <w:rFonts w:ascii="Calibri" w:hAnsi="Calibri"/>
                <w:color w:val="1F2937"/>
                <w:sz w:val="20"/>
              </w:rPr>
              <w:t>Directie</w:t>
            </w:r>
          </w:p>
        </w:tc>
        <w:tc>
          <w:tcPr>
            <w:tcW w:type="dxa" w:w="4536"/>
          </w:tcPr>
          <w:p>
            <w:r/>
            <w:r>
              <w:rPr>
                <w:rFonts w:ascii="Calibri" w:hAnsi="Calibri"/>
                <w:color w:val="1F2937"/>
                <w:sz w:val="20"/>
              </w:rPr>
              <w:t>Wordt binnen 24 uur geïnformeerd over elke spoed-MoC</w:t>
            </w:r>
          </w:p>
        </w:tc>
      </w:tr>
      <w:tr>
        <w:tc>
          <w:tcPr>
            <w:tcW w:type="dxa" w:w="4536"/>
          </w:tcPr>
          <w:p>
            <w:r/>
            <w:r>
              <w:rPr>
                <w:rFonts w:ascii="Calibri" w:hAnsi="Calibri"/>
                <w:color w:val="1F2937"/>
                <w:sz w:val="20"/>
              </w:rPr>
              <w:t>Operationeel Management</w:t>
            </w:r>
          </w:p>
        </w:tc>
        <w:tc>
          <w:tcPr>
            <w:tcW w:type="dxa" w:w="4536"/>
          </w:tcPr>
          <w:p>
            <w:r/>
            <w:r>
              <w:rPr>
                <w:rFonts w:ascii="Calibri" w:hAnsi="Calibri"/>
                <w:color w:val="1F2937"/>
                <w:sz w:val="20"/>
              </w:rPr>
              <w:t>Zorgt voor communicatie naar alle betrokkenen</w:t>
            </w:r>
          </w:p>
        </w:tc>
      </w:tr>
    </w:tbl>
    <w:p>
      <w:r>
        <w:br w:type="page"/>
      </w:r>
    </w:p>
    <w:p>
      <w:pPr>
        <w:pStyle w:val="Heading1"/>
      </w:pPr>
      <w:r>
        <w:t>5. RACI Matrix</w:t>
      </w:r>
    </w:p>
    <w:p>
      <w:r>
        <w:t>De onderstaande RACI matrix toont de verantwoordelijkheden per fase voor de vijf primaire rollen. R = Responsible (uitvoerend), A = Accountable (eindverantwoordelijk), C = Consulted (geconsulteerd), I = Informed (geïnformeerd).</w:t>
      </w:r>
    </w:p>
    <w:tbl>
      <w:tblPr>
        <w:tblStyle w:val="TableGrid"/>
        <w:tblW w:type="auto" w:w="0"/>
        <w:jc w:val="center"/>
        <w:tblLook w:firstColumn="1" w:firstRow="1" w:lastColumn="0" w:lastRow="0" w:noHBand="0" w:noVBand="1" w:val="04A0"/>
      </w:tblPr>
      <w:tblGrid>
        <w:gridCol w:w="1512"/>
        <w:gridCol w:w="1512"/>
        <w:gridCol w:w="1512"/>
        <w:gridCol w:w="1512"/>
        <w:gridCol w:w="1512"/>
        <w:gridCol w:w="1512"/>
      </w:tblGrid>
      <w:tr>
        <w:tc>
          <w:tcPr>
            <w:tcW w:type="dxa" w:w="1512"/>
            <w:shd w:fill="003366"/>
          </w:tcPr>
          <w:p>
            <w:pPr>
              <w:jc w:val="center"/>
            </w:pPr>
            <w:r/>
            <w:r>
              <w:rPr>
                <w:rFonts w:ascii="Calibri" w:hAnsi="Calibri"/>
                <w:b/>
                <w:color w:val="FFFFFF"/>
                <w:sz w:val="18"/>
              </w:rPr>
              <w:t>Fase</w:t>
            </w:r>
          </w:p>
        </w:tc>
        <w:tc>
          <w:tcPr>
            <w:tcW w:type="dxa" w:w="1512"/>
            <w:shd w:fill="003366"/>
          </w:tcPr>
          <w:p>
            <w:pPr>
              <w:jc w:val="center"/>
            </w:pPr>
            <w:r/>
            <w:r>
              <w:rPr>
                <w:rFonts w:ascii="Calibri" w:hAnsi="Calibri"/>
                <w:b/>
                <w:color w:val="FFFFFF"/>
                <w:sz w:val="18"/>
              </w:rPr>
              <w:t>Directie</w:t>
            </w:r>
          </w:p>
        </w:tc>
        <w:tc>
          <w:tcPr>
            <w:tcW w:type="dxa" w:w="1512"/>
            <w:shd w:fill="003366"/>
          </w:tcPr>
          <w:p>
            <w:pPr>
              <w:jc w:val="center"/>
            </w:pPr>
            <w:r/>
            <w:r>
              <w:rPr>
                <w:rFonts w:ascii="Calibri" w:hAnsi="Calibri"/>
                <w:b/>
                <w:color w:val="FFFFFF"/>
                <w:sz w:val="18"/>
              </w:rPr>
              <w:t>MoC-coördinator</w:t>
            </w:r>
          </w:p>
        </w:tc>
        <w:tc>
          <w:tcPr>
            <w:tcW w:type="dxa" w:w="1512"/>
            <w:shd w:fill="003366"/>
          </w:tcPr>
          <w:p>
            <w:pPr>
              <w:jc w:val="center"/>
            </w:pPr>
            <w:r/>
            <w:r>
              <w:rPr>
                <w:rFonts w:ascii="Calibri" w:hAnsi="Calibri"/>
                <w:b/>
                <w:color w:val="FFFFFF"/>
                <w:sz w:val="18"/>
              </w:rPr>
              <w:t>MoC-team</w:t>
            </w:r>
          </w:p>
        </w:tc>
        <w:tc>
          <w:tcPr>
            <w:tcW w:type="dxa" w:w="1512"/>
            <w:shd w:fill="003366"/>
          </w:tcPr>
          <w:p>
            <w:pPr>
              <w:jc w:val="center"/>
            </w:pPr>
            <w:r/>
            <w:r>
              <w:rPr>
                <w:rFonts w:ascii="Calibri" w:hAnsi="Calibri"/>
                <w:b/>
                <w:color w:val="FFFFFF"/>
                <w:sz w:val="18"/>
              </w:rPr>
              <w:t>Aanvrager</w:t>
            </w:r>
          </w:p>
        </w:tc>
        <w:tc>
          <w:tcPr>
            <w:tcW w:type="dxa" w:w="1512"/>
            <w:shd w:fill="003366"/>
          </w:tcPr>
          <w:p>
            <w:pPr>
              <w:jc w:val="center"/>
            </w:pPr>
            <w:r/>
            <w:r>
              <w:rPr>
                <w:rFonts w:ascii="Calibri" w:hAnsi="Calibri"/>
                <w:b/>
                <w:color w:val="FFFFFF"/>
                <w:sz w:val="18"/>
              </w:rPr>
              <w:t>Operationeel Mgmt</w:t>
            </w:r>
          </w:p>
        </w:tc>
      </w:tr>
      <w:tr>
        <w:tc>
          <w:tcPr>
            <w:tcW w:type="dxa" w:w="1512"/>
            <w:shd w:fill="FFFFFF"/>
          </w:tcPr>
          <w:p>
            <w:r/>
            <w:r>
              <w:rPr>
                <w:rFonts w:ascii="Calibri" w:hAnsi="Calibri"/>
                <w:b/>
                <w:color w:val="1F2937"/>
                <w:sz w:val="18"/>
              </w:rPr>
              <w:t>Fase 1: Initiatie &amp; Aanvraag</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FFFFFF"/>
          </w:tcPr>
          <w:p>
            <w:pPr>
              <w:jc w:val="center"/>
            </w:pPr>
            <w:r/>
            <w:r>
              <w:rPr>
                <w:rFonts w:ascii="Calibri" w:hAnsi="Calibri"/>
                <w:b/>
                <w:color w:val="1F2937"/>
                <w:sz w:val="18"/>
              </w:rPr>
              <w:t>—</w:t>
            </w:r>
          </w:p>
        </w:tc>
        <w:tc>
          <w:tcPr>
            <w:tcW w:type="dxa" w:w="1512"/>
            <w:shd w:fill="CCE5FF"/>
          </w:tcPr>
          <w:p>
            <w:pPr>
              <w:jc w:val="center"/>
            </w:pPr>
            <w:r/>
            <w:r>
              <w:rPr>
                <w:rFonts w:ascii="Calibri" w:hAnsi="Calibri"/>
                <w:b/>
                <w:color w:val="1F2937"/>
                <w:sz w:val="18"/>
              </w:rPr>
              <w:t>R/A</w:t>
            </w:r>
          </w:p>
        </w:tc>
        <w:tc>
          <w:tcPr>
            <w:tcW w:type="dxa" w:w="1512"/>
            <w:shd w:fill="F8F9FA"/>
          </w:tcPr>
          <w:p>
            <w:pPr>
              <w:jc w:val="center"/>
            </w:pPr>
            <w:r/>
            <w:r>
              <w:rPr>
                <w:rFonts w:ascii="Calibri" w:hAnsi="Calibri"/>
                <w:b/>
                <w:color w:val="1F2937"/>
                <w:sz w:val="18"/>
              </w:rPr>
              <w:t>I</w:t>
            </w:r>
          </w:p>
        </w:tc>
      </w:tr>
      <w:tr>
        <w:tc>
          <w:tcPr>
            <w:tcW w:type="dxa" w:w="1512"/>
            <w:shd w:fill="FFFFFF"/>
          </w:tcPr>
          <w:p>
            <w:r/>
            <w:r>
              <w:rPr>
                <w:rFonts w:ascii="Calibri" w:hAnsi="Calibri"/>
                <w:b/>
                <w:color w:val="1F2937"/>
                <w:sz w:val="18"/>
              </w:rPr>
              <w:t>Fase 2: MoC-waardigheidtoets</w:t>
            </w:r>
          </w:p>
        </w:tc>
        <w:tc>
          <w:tcPr>
            <w:tcW w:type="dxa" w:w="1512"/>
            <w:shd w:fill="F8F9FA"/>
          </w:tcPr>
          <w:p>
            <w:pPr>
              <w:jc w:val="center"/>
            </w:pPr>
            <w:r/>
            <w:r>
              <w:rPr>
                <w:rFonts w:ascii="Calibri" w:hAnsi="Calibri"/>
                <w:b/>
                <w:color w:val="1F2937"/>
                <w:sz w:val="18"/>
              </w:rPr>
              <w:t>I</w:t>
            </w:r>
          </w:p>
        </w:tc>
        <w:tc>
          <w:tcPr>
            <w:tcW w:type="dxa" w:w="1512"/>
            <w:shd w:fill="CCE5FF"/>
          </w:tcPr>
          <w:p>
            <w:pPr>
              <w:jc w:val="center"/>
            </w:pPr>
            <w:r/>
            <w:r>
              <w:rPr>
                <w:rFonts w:ascii="Calibri" w:hAnsi="Calibri"/>
                <w:b/>
                <w:color w:val="1F2937"/>
                <w:sz w:val="18"/>
              </w:rPr>
              <w:t>R/A</w:t>
            </w:r>
          </w:p>
        </w:tc>
        <w:tc>
          <w:tcPr>
            <w:tcW w:type="dxa" w:w="1512"/>
            <w:shd w:fill="E2E3E5"/>
          </w:tcPr>
          <w:p>
            <w:pPr>
              <w:jc w:val="center"/>
            </w:pPr>
            <w:r/>
            <w:r>
              <w:rPr>
                <w:rFonts w:ascii="Calibri" w:hAnsi="Calibri"/>
                <w:b/>
                <w:color w:val="1F2937"/>
                <w:sz w:val="18"/>
              </w:rPr>
              <w:t>C</w:t>
            </w:r>
          </w:p>
        </w:tc>
        <w:tc>
          <w:tcPr>
            <w:tcW w:type="dxa" w:w="1512"/>
            <w:shd w:fill="F8F9FA"/>
          </w:tcPr>
          <w:p>
            <w:pPr>
              <w:jc w:val="center"/>
            </w:pPr>
            <w:r/>
            <w:r>
              <w:rPr>
                <w:rFonts w:ascii="Calibri" w:hAnsi="Calibri"/>
                <w:b/>
                <w:color w:val="1F2937"/>
                <w:sz w:val="18"/>
              </w:rPr>
              <w:t>I</w:t>
            </w:r>
          </w:p>
        </w:tc>
        <w:tc>
          <w:tcPr>
            <w:tcW w:type="dxa" w:w="1512"/>
            <w:shd w:fill="F8F9FA"/>
          </w:tcPr>
          <w:p>
            <w:pPr>
              <w:jc w:val="center"/>
            </w:pPr>
            <w:r/>
            <w:r>
              <w:rPr>
                <w:rFonts w:ascii="Calibri" w:hAnsi="Calibri"/>
                <w:b/>
                <w:color w:val="1F2937"/>
                <w:sz w:val="18"/>
              </w:rPr>
              <w:t>I</w:t>
            </w:r>
          </w:p>
        </w:tc>
      </w:tr>
      <w:tr>
        <w:tc>
          <w:tcPr>
            <w:tcW w:type="dxa" w:w="1512"/>
            <w:shd w:fill="FFFFFF"/>
          </w:tcPr>
          <w:p>
            <w:r/>
            <w:r>
              <w:rPr>
                <w:rFonts w:ascii="Calibri" w:hAnsi="Calibri"/>
                <w:b/>
                <w:color w:val="1F2937"/>
                <w:sz w:val="18"/>
              </w:rPr>
              <w:t>Fase 3: Team &amp; Planning</w:t>
            </w:r>
          </w:p>
        </w:tc>
        <w:tc>
          <w:tcPr>
            <w:tcW w:type="dxa" w:w="1512"/>
            <w:shd w:fill="F8F9FA"/>
          </w:tcPr>
          <w:p>
            <w:pPr>
              <w:jc w:val="center"/>
            </w:pPr>
            <w:r/>
            <w:r>
              <w:rPr>
                <w:rFonts w:ascii="Calibri" w:hAnsi="Calibri"/>
                <w:b/>
                <w:color w:val="1F2937"/>
                <w:sz w:val="18"/>
              </w:rPr>
              <w:t>I</w:t>
            </w:r>
          </w:p>
        </w:tc>
        <w:tc>
          <w:tcPr>
            <w:tcW w:type="dxa" w:w="1512"/>
            <w:shd w:fill="CCE5FF"/>
          </w:tcPr>
          <w:p>
            <w:pPr>
              <w:jc w:val="center"/>
            </w:pPr>
            <w:r/>
            <w:r>
              <w:rPr>
                <w:rFonts w:ascii="Calibri" w:hAnsi="Calibri"/>
                <w:b/>
                <w:color w:val="1F2937"/>
                <w:sz w:val="18"/>
              </w:rPr>
              <w:t>R/A</w:t>
            </w:r>
          </w:p>
        </w:tc>
        <w:tc>
          <w:tcPr>
            <w:tcW w:type="dxa" w:w="1512"/>
            <w:shd w:fill="E2E3E5"/>
          </w:tcPr>
          <w:p>
            <w:pPr>
              <w:jc w:val="center"/>
            </w:pPr>
            <w:r/>
            <w:r>
              <w:rPr>
                <w:rFonts w:ascii="Calibri" w:hAnsi="Calibri"/>
                <w:b/>
                <w:color w:val="1F2937"/>
                <w:sz w:val="18"/>
              </w:rPr>
              <w:t>C</w:t>
            </w:r>
          </w:p>
        </w:tc>
        <w:tc>
          <w:tcPr>
            <w:tcW w:type="dxa" w:w="1512"/>
            <w:shd w:fill="F8F9FA"/>
          </w:tcPr>
          <w:p>
            <w:pPr>
              <w:jc w:val="center"/>
            </w:pPr>
            <w:r/>
            <w:r>
              <w:rPr>
                <w:rFonts w:ascii="Calibri" w:hAnsi="Calibri"/>
                <w:b/>
                <w:color w:val="1F2937"/>
                <w:sz w:val="18"/>
              </w:rPr>
              <w:t>I</w:t>
            </w:r>
          </w:p>
        </w:tc>
        <w:tc>
          <w:tcPr>
            <w:tcW w:type="dxa" w:w="1512"/>
            <w:shd w:fill="F8F9FA"/>
          </w:tcPr>
          <w:p>
            <w:pPr>
              <w:jc w:val="center"/>
            </w:pPr>
            <w:r/>
            <w:r>
              <w:rPr>
                <w:rFonts w:ascii="Calibri" w:hAnsi="Calibri"/>
                <w:b/>
                <w:color w:val="1F2937"/>
                <w:sz w:val="18"/>
              </w:rPr>
              <w:t>I</w:t>
            </w:r>
          </w:p>
        </w:tc>
      </w:tr>
      <w:tr>
        <w:tc>
          <w:tcPr>
            <w:tcW w:type="dxa" w:w="1512"/>
            <w:shd w:fill="FFFFFF"/>
          </w:tcPr>
          <w:p>
            <w:r/>
            <w:r>
              <w:rPr>
                <w:rFonts w:ascii="Calibri" w:hAnsi="Calibri"/>
                <w:b/>
                <w:color w:val="1F2937"/>
                <w:sz w:val="18"/>
              </w:rPr>
              <w:t>Fase 4: Veiligheidsstudie</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5: Risicobeoordeling</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6: Maatregelen &amp; Go/No-Go</w:t>
            </w:r>
          </w:p>
        </w:tc>
        <w:tc>
          <w:tcPr>
            <w:tcW w:type="dxa" w:w="1512"/>
            <w:shd w:fill="FFF3CD"/>
          </w:tcPr>
          <w:p>
            <w:pPr>
              <w:jc w:val="center"/>
            </w:pPr>
            <w:r/>
            <w:r>
              <w:rPr>
                <w:rFonts w:ascii="Calibri" w:hAnsi="Calibri"/>
                <w:b/>
                <w:color w:val="1F2937"/>
                <w:sz w:val="18"/>
              </w:rPr>
              <w:t>A*</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7: Uitvoering &amp; Implementatie</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E2E3E5"/>
          </w:tcPr>
          <w:p>
            <w:pPr>
              <w:jc w:val="center"/>
            </w:pPr>
            <w:r/>
            <w:r>
              <w:rPr>
                <w:rFonts w:ascii="Calibri" w:hAnsi="Calibri"/>
                <w:b/>
                <w:color w:val="1F2937"/>
                <w:sz w:val="18"/>
              </w:rPr>
              <w:t>C</w:t>
            </w:r>
          </w:p>
        </w:tc>
        <w:tc>
          <w:tcPr>
            <w:tcW w:type="dxa" w:w="1512"/>
            <w:shd w:fill="D4EDDA"/>
          </w:tcPr>
          <w:p>
            <w:pPr>
              <w:jc w:val="center"/>
            </w:pPr>
            <w:r/>
            <w:r>
              <w:rPr>
                <w:rFonts w:ascii="Calibri" w:hAnsi="Calibri"/>
                <w:b/>
                <w:color w:val="1F2937"/>
                <w:sz w:val="18"/>
              </w:rPr>
              <w:t>R</w:t>
            </w:r>
          </w:p>
        </w:tc>
        <w:tc>
          <w:tcPr>
            <w:tcW w:type="dxa" w:w="1512"/>
            <w:shd w:fill="FFF3CD"/>
          </w:tcPr>
          <w:p>
            <w:pPr>
              <w:jc w:val="center"/>
            </w:pPr>
            <w:r/>
            <w:r>
              <w:rPr>
                <w:rFonts w:ascii="Calibri" w:hAnsi="Calibri"/>
                <w:b/>
                <w:color w:val="1F2937"/>
                <w:sz w:val="18"/>
              </w:rPr>
              <w:t>A</w:t>
            </w:r>
          </w:p>
        </w:tc>
      </w:tr>
      <w:tr>
        <w:tc>
          <w:tcPr>
            <w:tcW w:type="dxa" w:w="1512"/>
            <w:shd w:fill="FFFFFF"/>
          </w:tcPr>
          <w:p>
            <w:r/>
            <w:r>
              <w:rPr>
                <w:rFonts w:ascii="Calibri" w:hAnsi="Calibri"/>
                <w:b/>
                <w:color w:val="1F2937"/>
                <w:sz w:val="18"/>
              </w:rPr>
              <w:t>Fase 8: PSSR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c>
          <w:tcPr>
            <w:tcW w:type="dxa" w:w="1512"/>
            <w:shd w:fill="CCE5FF"/>
          </w:tcPr>
          <w:p>
            <w:pPr>
              <w:jc w:val="center"/>
            </w:pPr>
            <w:r/>
            <w:r>
              <w:rPr>
                <w:rFonts w:ascii="Calibri" w:hAnsi="Calibri"/>
                <w:b/>
                <w:color w:val="1F2937"/>
                <w:sz w:val="18"/>
              </w:rPr>
              <w:t>R/A</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r>
        <w:tc>
          <w:tcPr>
            <w:tcW w:type="dxa" w:w="1512"/>
            <w:shd w:fill="FFFFFF"/>
          </w:tcPr>
          <w:p>
            <w:r/>
            <w:r>
              <w:rPr>
                <w:rFonts w:ascii="Calibri" w:hAnsi="Calibri"/>
                <w:b/>
                <w:color w:val="1F2937"/>
                <w:sz w:val="18"/>
              </w:rPr>
              <w:t>Fase 9: Evaluatie &amp; Afsluiting</w:t>
            </w:r>
          </w:p>
        </w:tc>
        <w:tc>
          <w:tcPr>
            <w:tcW w:type="dxa" w:w="1512"/>
            <w:shd w:fill="F8F9FA"/>
          </w:tcPr>
          <w:p>
            <w:pPr>
              <w:jc w:val="center"/>
            </w:pPr>
            <w:r/>
            <w:r>
              <w:rPr>
                <w:rFonts w:ascii="Calibri" w:hAnsi="Calibri"/>
                <w:b/>
                <w:color w:val="1F2937"/>
                <w:sz w:val="18"/>
              </w:rPr>
              <w:t>I</w:t>
            </w:r>
          </w:p>
        </w:tc>
        <w:tc>
          <w:tcPr>
            <w:tcW w:type="dxa" w:w="1512"/>
            <w:shd w:fill="CCE5FF"/>
          </w:tcPr>
          <w:p>
            <w:pPr>
              <w:jc w:val="center"/>
            </w:pPr>
            <w:r/>
            <w:r>
              <w:rPr>
                <w:rFonts w:ascii="Calibri" w:hAnsi="Calibri"/>
                <w:b/>
                <w:color w:val="1F2937"/>
                <w:sz w:val="18"/>
              </w:rPr>
              <w:t>R/A</w:t>
            </w:r>
          </w:p>
        </w:tc>
        <w:tc>
          <w:tcPr>
            <w:tcW w:type="dxa" w:w="1512"/>
            <w:shd w:fill="D4EDDA"/>
          </w:tcPr>
          <w:p>
            <w:pPr>
              <w:jc w:val="center"/>
            </w:pPr>
            <w:r/>
            <w:r>
              <w:rPr>
                <w:rFonts w:ascii="Calibri" w:hAnsi="Calibri"/>
                <w:b/>
                <w:color w:val="1F2937"/>
                <w:sz w:val="18"/>
              </w:rPr>
              <w:t>R</w:t>
            </w:r>
          </w:p>
        </w:tc>
        <w:tc>
          <w:tcPr>
            <w:tcW w:type="dxa" w:w="1512"/>
            <w:shd w:fill="F8F9FA"/>
          </w:tcPr>
          <w:p>
            <w:pPr>
              <w:jc w:val="center"/>
            </w:pPr>
            <w:r/>
            <w:r>
              <w:rPr>
                <w:rFonts w:ascii="Calibri" w:hAnsi="Calibri"/>
                <w:b/>
                <w:color w:val="1F2937"/>
                <w:sz w:val="18"/>
              </w:rPr>
              <w:t>I</w:t>
            </w:r>
          </w:p>
        </w:tc>
        <w:tc>
          <w:tcPr>
            <w:tcW w:type="dxa" w:w="1512"/>
            <w:shd w:fill="E2E3E5"/>
          </w:tcPr>
          <w:p>
            <w:pPr>
              <w:jc w:val="center"/>
            </w:pPr>
            <w:r/>
            <w:r>
              <w:rPr>
                <w:rFonts w:ascii="Calibri" w:hAnsi="Calibri"/>
                <w:b/>
                <w:color w:val="1F2937"/>
                <w:sz w:val="18"/>
              </w:rPr>
              <w:t>C</w:t>
            </w:r>
          </w:p>
        </w:tc>
      </w:tr>
    </w:tbl>
    <w:p/>
    <w:p>
      <w:r>
        <w:rPr>
          <w:rFonts w:ascii="Calibri" w:hAnsi="Calibri"/>
          <w:b w:val="0"/>
          <w:color w:val="666666"/>
          <w:sz w:val="18"/>
        </w:rPr>
        <w:t>* Goedkeuring bij risicoklasse ≥ 3</w:t>
      </w:r>
    </w:p>
    <w:p/>
    <w:p>
      <w:r>
        <w:rPr>
          <w:rFonts w:ascii="Calibri" w:hAnsi="Calibri"/>
          <w:b/>
          <w:sz w:val="20"/>
        </w:rPr>
        <w:t>Legenda:</w:t>
      </w:r>
    </w:p>
    <w:p>
      <w:r>
        <w:rPr>
          <w:rFonts w:ascii="Calibri" w:hAnsi="Calibri"/>
          <w:b/>
          <w:sz w:val="20"/>
        </w:rPr>
        <w:t xml:space="preserve">■ R (Responsible): </w:t>
      </w:r>
      <w:r>
        <w:rPr>
          <w:rFonts w:ascii="Calibri" w:hAnsi="Calibri"/>
          <w:sz w:val="20"/>
        </w:rPr>
        <w:t>Uitvoerend — voert de werkzaamheden uit</w:t>
      </w:r>
    </w:p>
    <w:p>
      <w:r>
        <w:rPr>
          <w:rFonts w:ascii="Calibri" w:hAnsi="Calibri"/>
          <w:b/>
          <w:sz w:val="20"/>
        </w:rPr>
        <w:t xml:space="preserve">■ A (Accountable): </w:t>
      </w:r>
      <w:r>
        <w:rPr>
          <w:rFonts w:ascii="Calibri" w:hAnsi="Calibri"/>
          <w:sz w:val="20"/>
        </w:rPr>
        <w:t>Eindverantwoordelijk — neemt de beslissing</w:t>
      </w:r>
    </w:p>
    <w:p>
      <w:r>
        <w:rPr>
          <w:rFonts w:ascii="Calibri" w:hAnsi="Calibri"/>
          <w:b/>
          <w:sz w:val="20"/>
        </w:rPr>
        <w:t xml:space="preserve">■ C (Consulted): </w:t>
      </w:r>
      <w:r>
        <w:rPr>
          <w:rFonts w:ascii="Calibri" w:hAnsi="Calibri"/>
          <w:sz w:val="20"/>
        </w:rPr>
        <w:t>Geconsulteerd — tweezijdig overleg</w:t>
      </w:r>
    </w:p>
    <w:p>
      <w:r>
        <w:rPr>
          <w:rFonts w:ascii="Calibri" w:hAnsi="Calibri"/>
          <w:b/>
          <w:sz w:val="20"/>
        </w:rPr>
        <w:t xml:space="preserve">■ I (Informed): </w:t>
      </w:r>
      <w:r>
        <w:rPr>
          <w:rFonts w:ascii="Calibri" w:hAnsi="Calibri"/>
          <w:sz w:val="20"/>
        </w:rPr>
        <w:t>Geïnformeerd — eenzijdig geïnformeerd</w:t>
      </w:r>
    </w:p>
    <w:p>
      <w:r>
        <w:br w:type="page"/>
      </w:r>
    </w:p>
    <w:p>
      <w:pPr>
        <w:pStyle w:val="Heading1"/>
      </w:pPr>
      <w:r>
        <w:t>6. Documentatie &amp; Archivering</w:t>
      </w:r>
    </w:p>
    <w:p>
      <w:pPr>
        <w:pStyle w:val="Heading2"/>
      </w:pPr>
      <w:r>
        <w:t>6.1 Wat wordt gedocumenteerd</w:t>
      </w:r>
    </w:p>
    <w:p>
      <w:r>
        <w:t>Per MoC-traject wordt een volledig dossier aangelegd dat minimaal de volgende documenten bevat:</w:t>
      </w:r>
    </w:p>
    <w:p>
      <w:pPr>
        <w:pStyle w:val="ListBullet"/>
      </w:pPr>
      <w:r>
        <w:t>MoC-aanvraagformulier (FM-01) met alle verplichte velden</w:t>
      </w:r>
    </w:p>
    <w:p>
      <w:pPr>
        <w:pStyle w:val="ListBullet"/>
      </w:pPr>
      <w:r>
        <w:t>Beslissing MoC-waardigheidtoets (inclusief RiF-afwijzingen)</w:t>
      </w:r>
    </w:p>
    <w:p>
      <w:pPr>
        <w:pStyle w:val="ListBullet"/>
      </w:pPr>
      <w:r>
        <w:t>Samenstelling MoC-team en planning</w:t>
      </w:r>
    </w:p>
    <w:p>
      <w:pPr>
        <w:pStyle w:val="ListBullet"/>
      </w:pPr>
      <w:r>
        <w:t>Veiligheidsstudierapport (indien van toepassing)</w:t>
      </w:r>
    </w:p>
    <w:p>
      <w:pPr>
        <w:pStyle w:val="ListBullet"/>
      </w:pPr>
      <w:r>
        <w:t>Risicobeoordeling (vóór en na maatregelen)</w:t>
      </w:r>
    </w:p>
    <w:p>
      <w:pPr>
        <w:pStyle w:val="ListBullet"/>
      </w:pPr>
      <w:r>
        <w:t>Actiepuntenlijst met status en eigenaren</w:t>
      </w:r>
    </w:p>
    <w:p>
      <w:pPr>
        <w:pStyle w:val="ListBullet"/>
      </w:pPr>
      <w:r>
        <w:t>Go/No-Go beslissing met argumentatie en handtekening</w:t>
      </w:r>
    </w:p>
    <w:p>
      <w:pPr>
        <w:pStyle w:val="ListBullet"/>
      </w:pPr>
      <w:r>
        <w:t>Communicatielog (wie is wanneer geïnformeerd)</w:t>
      </w:r>
    </w:p>
    <w:p>
      <w:pPr>
        <w:pStyle w:val="ListBullet"/>
      </w:pPr>
      <w:r>
        <w:t>PSSR-checklist (FM-03) met bevindingen en goedkeuring</w:t>
      </w:r>
    </w:p>
    <w:p>
      <w:pPr>
        <w:pStyle w:val="ListBullet"/>
      </w:pPr>
      <w:r>
        <w:t>Evaluatierapport</w:t>
      </w:r>
    </w:p>
    <w:p>
      <w:pPr>
        <w:pStyle w:val="ListBullet"/>
      </w:pPr>
      <w:r>
        <w:t>Formele afsluiting met datum en handtekening</w:t>
      </w:r>
    </w:p>
    <w:p>
      <w:pPr>
        <w:pStyle w:val="ListBullet"/>
      </w:pPr>
      <w:r>
        <w:t>Alle gewijzigde documentatie (P&amp;ID's, procedures, RI&amp;E, enz.)</w:t>
      </w:r>
    </w:p>
    <w:p>
      <w:pPr>
        <w:pStyle w:val="Heading2"/>
      </w:pPr>
      <w:r>
        <w:t>6.2 Opslag</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pPr>
              <w:jc w:val="center"/>
            </w:pPr>
            <w:r/>
            <w:r>
              <w:rPr>
                <w:rFonts w:ascii="Calibri" w:hAnsi="Calibri"/>
                <w:b/>
                <w:color w:val="FFFFFF"/>
                <w:sz w:val="20"/>
              </w:rPr>
              <w:t>Medium</w:t>
            </w:r>
          </w:p>
        </w:tc>
        <w:tc>
          <w:tcPr>
            <w:tcW w:type="dxa" w:w="4536"/>
            <w:shd w:fill="003366"/>
          </w:tcPr>
          <w:p>
            <w:pPr>
              <w:jc w:val="center"/>
            </w:pPr>
            <w:r/>
            <w:r>
              <w:rPr>
                <w:rFonts w:ascii="Calibri" w:hAnsi="Calibri"/>
                <w:b/>
                <w:color w:val="FFFFFF"/>
                <w:sz w:val="20"/>
              </w:rPr>
              <w:t>Locatie</w:t>
            </w:r>
          </w:p>
        </w:tc>
      </w:tr>
      <w:tr>
        <w:tc>
          <w:tcPr>
            <w:tcW w:type="dxa" w:w="4536"/>
          </w:tcPr>
          <w:p>
            <w:r/>
            <w:r>
              <w:rPr>
                <w:rFonts w:ascii="Calibri" w:hAnsi="Calibri"/>
                <w:color w:val="1F2937"/>
                <w:sz w:val="20"/>
              </w:rPr>
              <w:t>Digitaal</w:t>
            </w:r>
          </w:p>
        </w:tc>
        <w:tc>
          <w:tcPr>
            <w:tcW w:type="dxa" w:w="4536"/>
          </w:tcPr>
          <w:p>
            <w:r/>
            <w:r>
              <w:rPr>
                <w:rFonts w:ascii="Calibri" w:hAnsi="Calibri"/>
                <w:color w:val="1F2937"/>
                <w:sz w:val="20"/>
              </w:rPr>
              <w:t>Ultimo/CMMS — MoC-module, gekoppeld aan MoC-register (PM_VBS05_05)</w:t>
            </w:r>
          </w:p>
        </w:tc>
      </w:tr>
      <w:tr>
        <w:tc>
          <w:tcPr>
            <w:tcW w:type="dxa" w:w="4536"/>
          </w:tcPr>
          <w:p>
            <w:r/>
            <w:r>
              <w:rPr>
                <w:rFonts w:ascii="Calibri" w:hAnsi="Calibri"/>
                <w:color w:val="1F2937"/>
                <w:sz w:val="20"/>
              </w:rPr>
              <w:t>Fysiek</w:t>
            </w:r>
          </w:p>
        </w:tc>
        <w:tc>
          <w:tcPr>
            <w:tcW w:type="dxa" w:w="4536"/>
          </w:tcPr>
          <w:p>
            <w:r/>
            <w:r>
              <w:rPr>
                <w:rFonts w:ascii="Calibri" w:hAnsi="Calibri"/>
                <w:color w:val="1F2937"/>
                <w:sz w:val="20"/>
              </w:rPr>
              <w:t>MoC-map in HSE-archief (brandwerende kast)</w:t>
            </w:r>
          </w:p>
        </w:tc>
      </w:tr>
      <w:tr>
        <w:tc>
          <w:tcPr>
            <w:tcW w:type="dxa" w:w="4536"/>
          </w:tcPr>
          <w:p>
            <w:r/>
            <w:r>
              <w:rPr>
                <w:rFonts w:ascii="Calibri" w:hAnsi="Calibri"/>
                <w:color w:val="1F2937"/>
                <w:sz w:val="20"/>
              </w:rPr>
              <w:t>Backup</w:t>
            </w:r>
          </w:p>
        </w:tc>
        <w:tc>
          <w:tcPr>
            <w:tcW w:type="dxa" w:w="4536"/>
          </w:tcPr>
          <w:p>
            <w:r/>
            <w:r>
              <w:rPr>
                <w:rFonts w:ascii="Calibri" w:hAnsi="Calibri"/>
                <w:color w:val="1F2937"/>
                <w:sz w:val="20"/>
              </w:rPr>
              <w:t>Centraal netwerkopslag (automatische dagelijkse backup)</w:t>
            </w:r>
          </w:p>
        </w:tc>
      </w:tr>
    </w:tbl>
    <w:p>
      <w:pPr>
        <w:pStyle w:val="Heading2"/>
      </w:pPr>
      <w:r>
        <w:t>6.3 Bewaartermijn</w:t>
      </w:r>
    </w:p>
    <w:p>
      <w:r>
        <w:t>Alle MoC-dossiers worden minimaal 10 jaar bewaard na afsluiting van de MoC [3]. Dit conform de eisen van het BRZO 1999 en de Seveso III Richtlijn [2][3]. Dossiers gerelateerd aan incidenten of juridische geschillen worden bewaard tot de zaak formeel is gesloten plus 10 jaar.</w:t>
      </w:r>
    </w:p>
    <w:p>
      <w:pPr>
        <w:pStyle w:val="Heading2"/>
      </w:pPr>
      <w:r>
        <w:t>6.4 Audit trail</w:t>
      </w:r>
    </w:p>
    <w:p>
      <w:r>
        <w:t>Het MoC-register (PM_VBS05_05) [8] fungeert als centrale audit trail. Het register toont per MoC:</w:t>
      </w:r>
    </w:p>
    <w:p>
      <w:pPr>
        <w:pStyle w:val="ListBullet"/>
      </w:pPr>
      <w:r>
        <w:t>Uniek MoC-nummer en status</w:t>
      </w:r>
    </w:p>
    <w:p>
      <w:pPr>
        <w:pStyle w:val="ListBullet"/>
      </w:pPr>
      <w:r>
        <w:t>Aanvrager en datum van aanvraag</w:t>
      </w:r>
    </w:p>
    <w:p>
      <w:pPr>
        <w:pStyle w:val="ListBullet"/>
      </w:pPr>
      <w:r>
        <w:t>Type wijziging en classificatie</w:t>
      </w:r>
    </w:p>
    <w:p>
      <w:pPr>
        <w:pStyle w:val="ListBullet"/>
      </w:pPr>
      <w:r>
        <w:t>Goedkeurder en datum van goedkeuring</w:t>
      </w:r>
    </w:p>
    <w:p>
      <w:pPr>
        <w:pStyle w:val="ListBullet"/>
      </w:pPr>
      <w:r>
        <w:t>Implementatiedatum</w:t>
      </w:r>
    </w:p>
    <w:p>
      <w:pPr>
        <w:pStyle w:val="ListBullet"/>
      </w:pPr>
      <w:r>
        <w:t>Evaluatiedatum en -resultaat</w:t>
      </w:r>
    </w:p>
    <w:p>
      <w:pPr>
        <w:pStyle w:val="ListBullet"/>
      </w:pPr>
      <w:r>
        <w:t>Afsluitdatum</w:t>
      </w:r>
    </w:p>
    <w:p>
      <w:r>
        <w:t>Het MoC-register is te allen tijde raadpleegbaar voor directie, HSE en externe toezichthouders (Inspectie Leefomgeving en Transport, ILT).</w:t>
      </w:r>
    </w:p>
    <w:p>
      <w:r>
        <w:br w:type="page"/>
      </w:r>
    </w:p>
    <w:p>
      <w:pPr>
        <w:pStyle w:val="Heading1"/>
      </w:pPr>
      <w:r>
        <w:t>7. KPI's &amp; Prestatie-indicatoren</w:t>
      </w:r>
    </w:p>
    <w:p>
      <w:r>
        <w:t>De volgende KPI's worden maandelijks gerapporteerd door de MoC-coördinator aan directie. De data wordt ontleend aan het MoC-register (PM_VBS05_05) [8].</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center"/>
            </w:pPr>
            <w:r/>
            <w:r>
              <w:rPr>
                <w:rFonts w:ascii="Calibri" w:hAnsi="Calibri"/>
                <w:b/>
                <w:color w:val="FFFFFF"/>
                <w:sz w:val="20"/>
              </w:rPr>
              <w:t>KPI</w:t>
            </w:r>
          </w:p>
        </w:tc>
        <w:tc>
          <w:tcPr>
            <w:tcW w:type="dxa" w:w="2268"/>
            <w:shd w:fill="003366"/>
          </w:tcPr>
          <w:p>
            <w:pPr>
              <w:jc w:val="center"/>
            </w:pPr>
            <w:r/>
            <w:r>
              <w:rPr>
                <w:rFonts w:ascii="Calibri" w:hAnsi="Calibri"/>
                <w:b/>
                <w:color w:val="FFFFFF"/>
                <w:sz w:val="20"/>
              </w:rPr>
              <w:t>Definitie</w:t>
            </w:r>
          </w:p>
        </w:tc>
        <w:tc>
          <w:tcPr>
            <w:tcW w:type="dxa" w:w="2268"/>
            <w:shd w:fill="003366"/>
          </w:tcPr>
          <w:p>
            <w:pPr>
              <w:jc w:val="center"/>
            </w:pPr>
            <w:r/>
            <w:r>
              <w:rPr>
                <w:rFonts w:ascii="Calibri" w:hAnsi="Calibri"/>
                <w:b/>
                <w:color w:val="FFFFFF"/>
                <w:sz w:val="20"/>
              </w:rPr>
              <w:t>Target</w:t>
            </w:r>
          </w:p>
        </w:tc>
        <w:tc>
          <w:tcPr>
            <w:tcW w:type="dxa" w:w="2268"/>
            <w:shd w:fill="003366"/>
          </w:tcPr>
          <w:p>
            <w:pPr>
              <w:jc w:val="center"/>
            </w:pPr>
            <w:r/>
            <w:r>
              <w:rPr>
                <w:rFonts w:ascii="Calibri" w:hAnsi="Calibri"/>
                <w:b/>
                <w:color w:val="FFFFFF"/>
                <w:sz w:val="20"/>
              </w:rPr>
              <w:t>Frequentie</w:t>
            </w:r>
          </w:p>
        </w:tc>
      </w:tr>
      <w:tr>
        <w:tc>
          <w:tcPr>
            <w:tcW w:type="dxa" w:w="2268"/>
          </w:tcPr>
          <w:p>
            <w:r/>
            <w:r>
              <w:rPr>
                <w:rFonts w:ascii="Calibri" w:hAnsi="Calibri"/>
                <w:color w:val="1F2937"/>
                <w:sz w:val="20"/>
              </w:rPr>
              <w:t>Doorlooptijd MoC</w:t>
            </w:r>
          </w:p>
        </w:tc>
        <w:tc>
          <w:tcPr>
            <w:tcW w:type="dxa" w:w="2268"/>
          </w:tcPr>
          <w:p>
            <w:r/>
            <w:r>
              <w:rPr>
                <w:rFonts w:ascii="Calibri" w:hAnsi="Calibri"/>
                <w:color w:val="1F2937"/>
                <w:sz w:val="20"/>
              </w:rPr>
              <w:t>Gemiddeld aantal werkdagen van aanvraag tot afsluiting</w:t>
            </w:r>
          </w:p>
        </w:tc>
        <w:tc>
          <w:tcPr>
            <w:tcW w:type="dxa" w:w="2268"/>
          </w:tcPr>
          <w:p>
            <w:r/>
            <w:r>
              <w:rPr>
                <w:rFonts w:ascii="Calibri" w:hAnsi="Calibri"/>
                <w:color w:val="1F2937"/>
                <w:sz w:val="20"/>
              </w:rPr>
              <w:t>&lt; 20 werkdagen (risicoklasse 1-2)</w:t>
              <w:br/>
              <w:t>&lt; 40 werkdagen (risicoklasse 3-4)</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MoC's met veiligheidsstudie</w:t>
            </w:r>
          </w:p>
        </w:tc>
        <w:tc>
          <w:tcPr>
            <w:tcW w:type="dxa" w:w="2268"/>
          </w:tcPr>
          <w:p>
            <w:r/>
            <w:r>
              <w:rPr>
                <w:rFonts w:ascii="Calibri" w:hAnsi="Calibri"/>
                <w:color w:val="1F2937"/>
                <w:sz w:val="20"/>
              </w:rPr>
              <w:t>Percentage MoC's waarvoor een veiligheidsstudie (HAZOP, What-If, FMEA) is uitgevoerd</w:t>
            </w:r>
          </w:p>
        </w:tc>
        <w:tc>
          <w:tcPr>
            <w:tcW w:type="dxa" w:w="2268"/>
          </w:tcPr>
          <w:p>
            <w:r/>
            <w:r>
              <w:rPr>
                <w:rFonts w:ascii="Calibri" w:hAnsi="Calibri"/>
                <w:color w:val="1F2937"/>
                <w:sz w:val="20"/>
              </w:rPr>
              <w:t>100% voor risicoklasse ≥ 2</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Openstaande acties na ingebruikname</w:t>
            </w:r>
          </w:p>
        </w:tc>
        <w:tc>
          <w:tcPr>
            <w:tcW w:type="dxa" w:w="2268"/>
          </w:tcPr>
          <w:p>
            <w:r/>
            <w:r>
              <w:rPr>
                <w:rFonts w:ascii="Calibri" w:hAnsi="Calibri"/>
                <w:color w:val="1F2937"/>
                <w:sz w:val="20"/>
              </w:rPr>
              <w:t>Percentage MoC's met openstaande actiepunten na ingebruikname</w:t>
            </w:r>
          </w:p>
        </w:tc>
        <w:tc>
          <w:tcPr>
            <w:tcW w:type="dxa" w:w="2268"/>
          </w:tcPr>
          <w:p>
            <w:r/>
            <w:r>
              <w:rPr>
                <w:rFonts w:ascii="Calibri" w:hAnsi="Calibri"/>
                <w:color w:val="1F2937"/>
                <w:sz w:val="20"/>
              </w:rPr>
              <w:t>&lt; 10%</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Spoed-MoC's vs regulier</w:t>
            </w:r>
          </w:p>
        </w:tc>
        <w:tc>
          <w:tcPr>
            <w:tcW w:type="dxa" w:w="2268"/>
          </w:tcPr>
          <w:p>
            <w:r/>
            <w:r>
              <w:rPr>
                <w:rFonts w:ascii="Calibri" w:hAnsi="Calibri"/>
                <w:color w:val="1F2937"/>
                <w:sz w:val="20"/>
              </w:rPr>
              <w:t>Ratio spoed-MoC's ten opzichte van totaal aantal MoC's</w:t>
            </w:r>
          </w:p>
        </w:tc>
        <w:tc>
          <w:tcPr>
            <w:tcW w:type="dxa" w:w="2268"/>
          </w:tcPr>
          <w:p>
            <w:r/>
            <w:r>
              <w:rPr>
                <w:rFonts w:ascii="Calibri" w:hAnsi="Calibri"/>
                <w:color w:val="1F2937"/>
                <w:sz w:val="20"/>
              </w:rPr>
              <w:t>&lt; 15%</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Achterafformalisering spoed</w:t>
            </w:r>
          </w:p>
        </w:tc>
        <w:tc>
          <w:tcPr>
            <w:tcW w:type="dxa" w:w="2268"/>
          </w:tcPr>
          <w:p>
            <w:r/>
            <w:r>
              <w:rPr>
                <w:rFonts w:ascii="Calibri" w:hAnsi="Calibri"/>
                <w:color w:val="1F2937"/>
                <w:sz w:val="20"/>
              </w:rPr>
              <w:t>Percentage spoed-MoC's binnen 5 werkdagen achteraf geformaliseerd</w:t>
            </w:r>
          </w:p>
        </w:tc>
        <w:tc>
          <w:tcPr>
            <w:tcW w:type="dxa" w:w="2268"/>
          </w:tcPr>
          <w:p>
            <w:r/>
            <w:r>
              <w:rPr>
                <w:rFonts w:ascii="Calibri" w:hAnsi="Calibri"/>
                <w:color w:val="1F2937"/>
                <w:sz w:val="20"/>
              </w:rPr>
              <w:t>100%</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Evaluatie binnen termijn</w:t>
            </w:r>
          </w:p>
        </w:tc>
        <w:tc>
          <w:tcPr>
            <w:tcW w:type="dxa" w:w="2268"/>
          </w:tcPr>
          <w:p>
            <w:r/>
            <w:r>
              <w:rPr>
                <w:rFonts w:ascii="Calibri" w:hAnsi="Calibri"/>
                <w:color w:val="1F2937"/>
                <w:sz w:val="20"/>
              </w:rPr>
              <w:t>Percentage MoC's dat binnen 90 dagen na implementatie is geëvalueerd</w:t>
            </w:r>
          </w:p>
        </w:tc>
        <w:tc>
          <w:tcPr>
            <w:tcW w:type="dxa" w:w="2268"/>
          </w:tcPr>
          <w:p>
            <w:r/>
            <w:r>
              <w:rPr>
                <w:rFonts w:ascii="Calibri" w:hAnsi="Calibri"/>
                <w:color w:val="1F2937"/>
                <w:sz w:val="20"/>
              </w:rPr>
              <w:t>&gt; 95%</w:t>
            </w:r>
          </w:p>
        </w:tc>
        <w:tc>
          <w:tcPr>
            <w:tcW w:type="dxa" w:w="2268"/>
          </w:tcPr>
          <w:p>
            <w:r/>
            <w:r>
              <w:rPr>
                <w:rFonts w:ascii="Calibri" w:hAnsi="Calibri"/>
                <w:color w:val="1F2937"/>
                <w:sz w:val="20"/>
              </w:rPr>
              <w:t>Maandelijks</w:t>
            </w:r>
          </w:p>
        </w:tc>
      </w:tr>
      <w:tr>
        <w:tc>
          <w:tcPr>
            <w:tcW w:type="dxa" w:w="2268"/>
          </w:tcPr>
          <w:p>
            <w:r/>
            <w:r>
              <w:rPr>
                <w:rFonts w:ascii="Calibri" w:hAnsi="Calibri"/>
                <w:color w:val="1F2937"/>
                <w:sz w:val="20"/>
              </w:rPr>
              <w:t>MoC-register compleet</w:t>
            </w:r>
          </w:p>
        </w:tc>
        <w:tc>
          <w:tcPr>
            <w:tcW w:type="dxa" w:w="2268"/>
          </w:tcPr>
          <w:p>
            <w:r/>
            <w:r>
              <w:rPr>
                <w:rFonts w:ascii="Calibri" w:hAnsi="Calibri"/>
                <w:color w:val="1F2937"/>
                <w:sz w:val="20"/>
              </w:rPr>
              <w:t>Percentage MoC-dossiers dat compleet en accuraat is</w:t>
            </w:r>
          </w:p>
        </w:tc>
        <w:tc>
          <w:tcPr>
            <w:tcW w:type="dxa" w:w="2268"/>
          </w:tcPr>
          <w:p>
            <w:r/>
            <w:r>
              <w:rPr>
                <w:rFonts w:ascii="Calibri" w:hAnsi="Calibri"/>
                <w:color w:val="1F2937"/>
                <w:sz w:val="20"/>
              </w:rPr>
              <w:t>100%</w:t>
            </w:r>
          </w:p>
        </w:tc>
        <w:tc>
          <w:tcPr>
            <w:tcW w:type="dxa" w:w="2268"/>
          </w:tcPr>
          <w:p>
            <w:r/>
            <w:r>
              <w:rPr>
                <w:rFonts w:ascii="Calibri" w:hAnsi="Calibri"/>
                <w:color w:val="1F2937"/>
                <w:sz w:val="20"/>
              </w:rPr>
              <w:t>Kwartaal</w:t>
            </w:r>
          </w:p>
        </w:tc>
      </w:tr>
    </w:tbl>
    <w:p/>
    <w:p>
      <w:r>
        <w:t>De KPI's worden geaggregeerd in het MoC-register (PM_VBS05_05) [8] en besproken in het kwartaaloverleg HSEQ. Afwijkingen van targets leiden tot een verbetervoorstel door de MoC-coördinator, ter goedkeuring aan directie.</w:t>
      </w:r>
    </w:p>
    <w:p>
      <w:r>
        <w:br w:type="page"/>
      </w:r>
    </w:p>
    <w:p>
      <w:pPr>
        <w:pStyle w:val="Heading1"/>
      </w:pPr>
      <w:r>
        <w:rPr>
          <w:rFonts w:ascii="Calibri" w:hAnsi="Calibri"/>
          <w:color w:val="003366"/>
        </w:rPr>
        <w:t>8. Regulatory Change Management Procedure</w:t>
      </w:r>
    </w:p>
    <w:p>
      <w:pPr>
        <w:pStyle w:val="Heading2"/>
      </w:pPr>
      <w:r>
        <w:rPr>
          <w:rFonts w:ascii="Calibri" w:hAnsi="Calibri"/>
          <w:color w:val="003366"/>
        </w:rPr>
        <w:t>8.1 Wetgevingsmonitoring</w:t>
      </w:r>
    </w:p>
    <w:p>
      <w:pPr>
        <w:spacing w:after="120"/>
      </w:pPr>
      <w:r>
        <w:rPr>
          <w:rFonts w:ascii="Calibri" w:hAnsi="Calibri"/>
          <w:sz w:val="22"/>
        </w:rPr>
        <w:t>De HSE Manager / Compliance Officer is verantwoordelijk voor de systematische monitoring van relevante wet- en regelgeving. De monitoring is gericht op tijdige signalering van wijzigingen die van invloed zijn op Phoenix Metals B.V.</w:t>
      </w:r>
    </w:p>
    <w:p>
      <w:pPr>
        <w:spacing w:after="120"/>
      </w:pPr>
      <w:r>
        <w:rPr>
          <w:rFonts w:ascii="Calibri" w:hAnsi="Calibri"/>
          <w:sz w:val="22"/>
        </w:rPr>
        <w:t>Monitoring bronnen:</w:t>
      </w:r>
    </w:p>
    <w:p>
      <w:pPr>
        <w:pStyle w:val="ListBullet"/>
      </w:pPr>
      <w:r>
        <w:rPr>
          <w:rFonts w:ascii="Calibri" w:hAnsi="Calibri"/>
          <w:sz w:val="22"/>
        </w:rPr>
        <w:t>Overheid.nl en Staatscourant — nationale wet- en regelgeving</w:t>
      </w:r>
    </w:p>
    <w:p>
      <w:pPr>
        <w:pStyle w:val="ListBullet"/>
      </w:pPr>
      <w:r>
        <w:rPr>
          <w:rFonts w:ascii="Calibri" w:hAnsi="Calibri"/>
          <w:sz w:val="22"/>
        </w:rPr>
        <w:t>EUR-Lex — EU-regelgeving en Seveso III-richtlijn amendementen</w:t>
      </w:r>
    </w:p>
    <w:p>
      <w:pPr>
        <w:pStyle w:val="ListBullet"/>
      </w:pPr>
      <w:r>
        <w:rPr>
          <w:rFonts w:ascii="Calibri" w:hAnsi="Calibri"/>
          <w:sz w:val="22"/>
        </w:rPr>
        <w:t>Arbobalans en Arbowet/Arbobesluit wijzigingen</w:t>
      </w:r>
    </w:p>
    <w:p>
      <w:pPr>
        <w:pStyle w:val="ListBullet"/>
      </w:pPr>
      <w:r>
        <w:rPr>
          <w:rFonts w:ascii="Calibri" w:hAnsi="Calibri"/>
          <w:sz w:val="22"/>
        </w:rPr>
        <w:t>BRZO 1999 amendementen</w:t>
      </w:r>
    </w:p>
    <w:p>
      <w:pPr>
        <w:pStyle w:val="ListBullet"/>
      </w:pPr>
      <w:r>
        <w:rPr>
          <w:rFonts w:ascii="Calibri" w:hAnsi="Calibri"/>
          <w:sz w:val="22"/>
        </w:rPr>
        <w:t>Branchegerichte bronnen: VNCI, IGS, DCMR publicaties</w:t>
      </w:r>
    </w:p>
    <w:p>
      <w:pPr>
        <w:spacing w:after="120"/>
      </w:pPr>
      <w:r>
        <w:rPr>
          <w:rFonts w:ascii="Calibri" w:hAnsi="Calibri"/>
          <w:sz w:val="22"/>
        </w:rPr>
        <w:t>Tools:</w:t>
      </w:r>
    </w:p>
    <w:p>
      <w:pPr>
        <w:pStyle w:val="ListBullet"/>
      </w:pPr>
      <w:r>
        <w:rPr>
          <w:rFonts w:ascii="Calibri" w:hAnsi="Calibri"/>
          <w:sz w:val="22"/>
        </w:rPr>
        <w:t>DigitoBeheer (geautomatiseerde monitoring)</w:t>
      </w:r>
    </w:p>
    <w:p>
      <w:pPr>
        <w:pStyle w:val="ListBullet"/>
      </w:pPr>
      <w:r>
        <w:rPr>
          <w:rFonts w:ascii="Calibri" w:hAnsi="Calibri"/>
          <w:sz w:val="22"/>
        </w:rPr>
        <w:t>Compliance management software (indien beschikbaar)</w:t>
      </w:r>
    </w:p>
    <w:p>
      <w:r>
        <w:rPr>
          <w:rFonts w:ascii="Calibri" w:hAnsi="Calibri"/>
          <w:sz w:val="22"/>
        </w:rPr>
        <w:t>[1] NTA 8620:2021 — Veiligheidsrapportage Seveso-inrichtingen (NEN, 2021)</w:t>
      </w:r>
    </w:p>
    <w:p>
      <w:r>
        <w:rPr>
          <w:rFonts w:ascii="Calibri" w:hAnsi="Calibri"/>
          <w:sz w:val="22"/>
        </w:rPr>
        <w:t>[8] NTA 8620 Element IV interpretatiehandreiking — RIVM / IGS</w:t>
      </w:r>
    </w:p>
    <w:p>
      <w:r>
        <w:rPr>
          <w:rFonts w:ascii="Calibri" w:hAnsi="Calibri"/>
          <w:sz w:val="22"/>
        </w:rPr>
        <w:t>[9] DigitoBeheer — Digitale monitoring wet- en regelgeving (Rijksoverheid)</w:t>
      </w:r>
    </w:p>
    <w:p>
      <w:r>
        <w:rPr>
          <w:rFonts w:ascii="Calibri" w:hAnsi="Calibri"/>
          <w:sz w:val="22"/>
        </w:rPr>
        <w:t>[10] Arbowet- en Arbobesluitwijzigingen 2024–2026 — Overheid.nl</w:t>
      </w:r>
    </w:p>
    <w:p>
      <w:r>
        <w:rPr>
          <w:rFonts w:ascii="Calibri" w:hAnsi="Calibri"/>
          <w:sz w:val="22"/>
        </w:rPr>
        <w:t>[11] BRZO 1999 amendementen — Besluit risico's zware ongevallen 1999, laatst gewijzigd 2024</w:t>
      </w:r>
    </w:p>
    <w:p>
      <w:pPr>
        <w:pStyle w:val="ListBullet"/>
      </w:pPr>
      <w:r>
        <w:rPr>
          <w:rFonts w:ascii="Calibri" w:hAnsi="Calibri"/>
          <w:sz w:val="22"/>
        </w:rPr>
        <w:t>Handmatige scan (kwartaallijks, minimaal)</w:t>
      </w:r>
    </w:p>
    <w:p>
      <w:pPr>
        <w:spacing w:after="120"/>
      </w:pPr>
      <w:r>
        <w:rPr>
          <w:rFonts w:ascii="Calibri" w:hAnsi="Calibri"/>
          <w:sz w:val="22"/>
        </w:rPr>
        <w:t>Verantwoordelijke: HSE Manager / Compliance Officer. Resultaten worden vastgelegd in het Wetgevingsregister (zie bijlage).</w:t>
      </w:r>
    </w:p>
    <w:p>
      <w:pPr>
        <w:pStyle w:val="Heading2"/>
      </w:pPr>
      <w:r>
        <w:rPr>
          <w:rFonts w:ascii="Calibri" w:hAnsi="Calibri"/>
          <w:color w:val="003366"/>
        </w:rPr>
        <w:t>8.2 Impactanalyse Wetgevingswijziging</w:t>
      </w:r>
    </w:p>
    <w:p>
      <w:pPr>
        <w:spacing w:after="120"/>
      </w:pPr>
      <w:r>
        <w:rPr>
          <w:rFonts w:ascii="Calibri" w:hAnsi="Calibri"/>
          <w:sz w:val="22"/>
        </w:rPr>
        <w:t>Na identificatie van een relevante wetgevingswijziging wordt een impactanalyse uitgevoerd:</w:t>
      </w:r>
    </w:p>
    <w:p>
      <w:pPr>
        <w:pStyle w:val="ListBullet"/>
      </w:pPr>
      <w:r>
        <w:rPr>
          <w:rFonts w:ascii="Calibri" w:hAnsi="Calibri"/>
          <w:sz w:val="22"/>
        </w:rPr>
        <w:t>Beoordeling: raakt de wijziging Phoenix Metals? Welke VBS-elementen worden geraakt?</w:t>
      </w:r>
    </w:p>
    <w:p>
      <w:pPr>
        <w:pStyle w:val="ListBullet"/>
      </w:pPr>
      <w:r>
        <w:rPr>
          <w:rFonts w:ascii="Calibri" w:hAnsi="Calibri"/>
          <w:sz w:val="22"/>
        </w:rPr>
        <w:t>Classificatie van de impact:</w:t>
      </w:r>
    </w:p>
    <w:p>
      <w:pPr>
        <w:pStyle w:val="ListBullet"/>
        <w:ind w:left="1077"/>
      </w:pPr>
      <w:r>
        <w:rPr>
          <w:rFonts w:ascii="Calibri" w:hAnsi="Calibri"/>
          <w:sz w:val="22"/>
        </w:rPr>
        <w:t>Laag — administratieve aanpassing, geen operationele impact</w:t>
      </w:r>
    </w:p>
    <w:p>
      <w:pPr>
        <w:pStyle w:val="ListBullet"/>
        <w:ind w:left="1077"/>
      </w:pPr>
      <w:r>
        <w:rPr>
          <w:rFonts w:ascii="Calibri" w:hAnsi="Calibri"/>
          <w:sz w:val="22"/>
        </w:rPr>
        <w:t>Gemiddeld — aanpassing procedures of RI&amp;E vereist</w:t>
      </w:r>
    </w:p>
    <w:p>
      <w:pPr>
        <w:pStyle w:val="ListBullet"/>
        <w:ind w:left="1077"/>
      </w:pPr>
      <w:r>
        <w:rPr>
          <w:rFonts w:ascii="Calibri" w:hAnsi="Calibri"/>
          <w:sz w:val="22"/>
        </w:rPr>
        <w:t>Hoog — ingrijpende wijziging, mogelijk aanpassing veiligheidsrapportage of VBS-scope</w:t>
      </w:r>
    </w:p>
    <w:p>
      <w:pPr>
        <w:pStyle w:val="ListBullet"/>
      </w:pPr>
      <w:r>
        <w:rPr>
          <w:rFonts w:ascii="Calibri" w:hAnsi="Calibri"/>
          <w:sz w:val="22"/>
        </w:rPr>
        <w:t>Bepaling van de implementatietermijn op basis van wettelijke inwerkingtreding en complexiteit</w:t>
      </w:r>
    </w:p>
    <w:p>
      <w:pPr>
        <w:pStyle w:val="Heading2"/>
      </w:pPr>
      <w:r>
        <w:rPr>
          <w:rFonts w:ascii="Calibri" w:hAnsi="Calibri"/>
          <w:color w:val="003366"/>
        </w:rPr>
        <w:t>8.3 Implementatie</w:t>
      </w:r>
    </w:p>
    <w:p>
      <w:pPr>
        <w:spacing w:after="120"/>
      </w:pPr>
      <w:r>
        <w:rPr>
          <w:rFonts w:ascii="Calibri" w:hAnsi="Calibri"/>
          <w:sz w:val="22"/>
        </w:rPr>
        <w:t>Na goedkeuring van de impactanalyse door de Directie wordt de wijziging geïmplementeerd:</w:t>
      </w:r>
    </w:p>
    <w:p>
      <w:pPr>
        <w:pStyle w:val="ListBullet"/>
      </w:pPr>
      <w:r>
        <w:rPr>
          <w:rFonts w:ascii="Calibri" w:hAnsi="Calibri"/>
          <w:sz w:val="22"/>
        </w:rPr>
        <w:t>Aanpassen procedures, werkinstructies, RI&amp;E en VBS-documentatie</w:t>
      </w:r>
    </w:p>
    <w:p>
      <w:pPr>
        <w:pStyle w:val="ListBullet"/>
      </w:pPr>
      <w:r>
        <w:rPr>
          <w:rFonts w:ascii="Calibri" w:hAnsi="Calibri"/>
          <w:sz w:val="22"/>
        </w:rPr>
        <w:t>Organiseren van training en instructie voor betrokken medewerkers</w:t>
      </w:r>
    </w:p>
    <w:p>
      <w:pPr>
        <w:pStyle w:val="ListBullet"/>
      </w:pPr>
      <w:r>
        <w:rPr>
          <w:rFonts w:ascii="Calibri" w:hAnsi="Calibri"/>
          <w:sz w:val="22"/>
        </w:rPr>
        <w:t>Communicatie naar alle betrokkenen via geëigende kanalen</w:t>
      </w:r>
    </w:p>
    <w:p>
      <w:pPr>
        <w:pStyle w:val="ListBullet"/>
      </w:pPr>
      <w:r>
        <w:rPr>
          <w:rFonts w:ascii="Calibri" w:hAnsi="Calibri"/>
          <w:sz w:val="22"/>
        </w:rPr>
        <w:t>Documentatie van de implementatie in het Wetgevingsregister</w:t>
      </w:r>
    </w:p>
    <w:p>
      <w:pPr>
        <w:spacing w:after="120"/>
      </w:pPr>
      <w:r>
        <w:rPr>
          <w:rFonts w:ascii="Calibri" w:hAnsi="Calibri"/>
          <w:sz w:val="22"/>
        </w:rPr>
        <w:t>Koppeling met Element 1 (Training Matrix, PM_VBS01_04): nieuwe of gewijzigde eisen worden vertaald naar trainingsbehoeften.</w:t>
      </w:r>
    </w:p>
    <w:p>
      <w:pPr>
        <w:pStyle w:val="Heading2"/>
      </w:pPr>
      <w:r>
        <w:rPr>
          <w:rFonts w:ascii="Calibri" w:hAnsi="Calibri"/>
          <w:color w:val="003366"/>
        </w:rPr>
        <w:t>8.4 Rapportage</w:t>
      </w:r>
    </w:p>
    <w:p>
      <w:pPr>
        <w:pStyle w:val="ListBullet"/>
      </w:pPr>
      <w:r>
        <w:rPr>
          <w:rFonts w:ascii="Calibri" w:hAnsi="Calibri"/>
          <w:sz w:val="22"/>
        </w:rPr>
        <w:t>Kwartaallijks rapportage aan Directie over geïdentificeerde wetgevingswijzigingen en status van implementatie</w:t>
      </w:r>
    </w:p>
    <w:p>
      <w:pPr>
        <w:pStyle w:val="ListBullet"/>
      </w:pPr>
      <w:r>
        <w:rPr>
          <w:rFonts w:ascii="Calibri" w:hAnsi="Calibri"/>
          <w:sz w:val="22"/>
        </w:rPr>
        <w:t>Jaarlijks compliance-overzicht als input voor VBS Element VII (Controle en analyse)</w:t>
      </w:r>
    </w:p>
    <w:p>
      <w:pPr>
        <w:pStyle w:val="Heading1"/>
      </w:pPr>
      <w:r>
        <w:rPr>
          <w:rFonts w:ascii="Calibri" w:hAnsi="Calibri"/>
          <w:color w:val="003366"/>
        </w:rPr>
        <w:t>9. Omgevingsmonitoring Procedure</w:t>
      </w:r>
    </w:p>
    <w:p>
      <w:pPr>
        <w:pStyle w:val="Heading2"/>
      </w:pPr>
      <w:r>
        <w:rPr>
          <w:rFonts w:ascii="Calibri" w:hAnsi="Calibri"/>
          <w:color w:val="003366"/>
        </w:rPr>
        <w:t>9.1 Scope</w:t>
      </w:r>
    </w:p>
    <w:p>
      <w:pPr>
        <w:spacing w:after="120"/>
      </w:pPr>
      <w:r>
        <w:rPr>
          <w:rFonts w:ascii="Calibri" w:hAnsi="Calibri"/>
          <w:sz w:val="22"/>
        </w:rPr>
        <w:t>De omgevingsmonitoring betreft de identificatie en beoordeling van externe ontwikkelingen die van invloed kunnen zijn op de veiligheid van Phoenix Metals B.V. [1]</w:t>
      </w:r>
    </w:p>
    <w:p>
      <w:pPr>
        <w:pStyle w:val="ListBullet"/>
      </w:pPr>
      <w:r>
        <w:rPr>
          <w:rFonts w:ascii="Calibri" w:hAnsi="Calibri"/>
          <w:sz w:val="22"/>
        </w:rPr>
        <w:t>Buurbedrijven — nieuwe of gewijzigde activiteiten op aangrenzende locaties</w:t>
      </w:r>
    </w:p>
    <w:p>
      <w:pPr>
        <w:pStyle w:val="ListBullet"/>
      </w:pPr>
      <w:r>
        <w:rPr>
          <w:rFonts w:ascii="Calibri" w:hAnsi="Calibri"/>
          <w:sz w:val="22"/>
        </w:rPr>
        <w:t>Infrastructuur — wegen, transportroutes, buisleidingen, spoorlijnen</w:t>
      </w:r>
    </w:p>
    <w:p>
      <w:pPr>
        <w:pStyle w:val="ListBullet"/>
      </w:pPr>
      <w:r>
        <w:rPr>
          <w:rFonts w:ascii="Calibri" w:hAnsi="Calibri"/>
          <w:sz w:val="22"/>
        </w:rPr>
        <w:t>Klimaat — hittegolf, overstromingsrisico, extreme neerslag, storm</w:t>
      </w:r>
    </w:p>
    <w:p>
      <w:pPr>
        <w:pStyle w:val="ListBullet"/>
      </w:pPr>
      <w:r>
        <w:rPr>
          <w:rFonts w:ascii="Calibri" w:hAnsi="Calibri"/>
          <w:sz w:val="22"/>
        </w:rPr>
        <w:t>Maatschappij — nieuwe woonwijken, scholen, zorginstellingen in de omgeving</w:t>
      </w:r>
    </w:p>
    <w:p>
      <w:pPr>
        <w:pStyle w:val="Heading2"/>
      </w:pPr>
      <w:r>
        <w:rPr>
          <w:rFonts w:ascii="Calibri" w:hAnsi="Calibri"/>
          <w:color w:val="003366"/>
        </w:rPr>
        <w:t>9.2 Monitoring-methoden</w:t>
      </w:r>
    </w:p>
    <w:p>
      <w:pPr>
        <w:pStyle w:val="ListBullet"/>
      </w:pPr>
      <w:r>
        <w:rPr>
          <w:rFonts w:ascii="Calibri" w:hAnsi="Calibri"/>
          <w:sz w:val="22"/>
        </w:rPr>
        <w:t>Jaarlijkse omgevingsscan — fysieke inspectie en documentanalyse</w:t>
      </w:r>
    </w:p>
    <w:p>
      <w:pPr>
        <w:pStyle w:val="ListBullet"/>
      </w:pPr>
      <w:r>
        <w:rPr>
          <w:rFonts w:ascii="Calibri" w:hAnsi="Calibri"/>
          <w:sz w:val="22"/>
        </w:rPr>
        <w:t>Gemeente-overleg — deelname aan omgevings- of informatieavonden</w:t>
      </w:r>
    </w:p>
    <w:p>
      <w:pPr>
        <w:pStyle w:val="ListBullet"/>
      </w:pPr>
      <w:r>
        <w:rPr>
          <w:rFonts w:ascii="Calibri" w:hAnsi="Calibri"/>
          <w:sz w:val="22"/>
        </w:rPr>
        <w:t>Risicokaarten — raadpleging gemeentelijke en provinciale risicokaarten</w:t>
      </w:r>
    </w:p>
    <w:p>
      <w:pPr>
        <w:pStyle w:val="ListBullet"/>
      </w:pPr>
      <w:r>
        <w:rPr>
          <w:rFonts w:ascii="Calibri" w:hAnsi="Calibri"/>
          <w:sz w:val="22"/>
        </w:rPr>
        <w:t>Media en branche-informatie — signalering via vakbladen en branche-organisaties</w:t>
      </w:r>
    </w:p>
    <w:p>
      <w:pPr>
        <w:pStyle w:val="Heading2"/>
      </w:pPr>
      <w:r>
        <w:rPr>
          <w:rFonts w:ascii="Calibri" w:hAnsi="Calibri"/>
          <w:color w:val="003366"/>
        </w:rPr>
        <w:t>9.3 Frequentie</w:t>
      </w:r>
    </w:p>
    <w:p>
      <w:pPr>
        <w:pStyle w:val="ListBullet"/>
      </w:pPr>
      <w:r>
        <w:rPr>
          <w:rFonts w:ascii="Calibri" w:hAnsi="Calibri"/>
          <w:sz w:val="22"/>
        </w:rPr>
        <w:t>Jaarlijks — structurele omgevingsscan geïntegreerd in de VBS-evaluatie</w:t>
      </w:r>
    </w:p>
    <w:p>
      <w:pPr>
        <w:pStyle w:val="ListBullet"/>
      </w:pPr>
      <w:r>
        <w:rPr>
          <w:rFonts w:ascii="Calibri" w:hAnsi="Calibri"/>
          <w:sz w:val="22"/>
        </w:rPr>
        <w:t>Trigger-based — directe beoordeling bij concrete signalen (bouwvergunning buur, waarschuwing autoriteiten, klimaatwaarschuwing KNMI)</w:t>
      </w:r>
    </w:p>
    <w:p>
      <w:pPr>
        <w:pStyle w:val="Heading2"/>
      </w:pPr>
      <w:r>
        <w:rPr>
          <w:rFonts w:ascii="Calibri" w:hAnsi="Calibri"/>
          <w:color w:val="003366"/>
        </w:rPr>
        <w:t>9.4 Actie bij Relevante Wijziging</w:t>
      </w:r>
    </w:p>
    <w:p>
      <w:pPr>
        <w:spacing w:after="120"/>
      </w:pPr>
      <w:r>
        <w:rPr>
          <w:rFonts w:ascii="Calibri" w:hAnsi="Calibri"/>
          <w:sz w:val="22"/>
        </w:rPr>
        <w:t>Wanneer de omgevingsmonitoring een relevante wijziging identificeert:</w:t>
      </w:r>
    </w:p>
    <w:p>
      <w:pPr>
        <w:pStyle w:val="ListBullet"/>
      </w:pPr>
      <w:r>
        <w:rPr>
          <w:rFonts w:ascii="Calibri" w:hAnsi="Calibri"/>
          <w:sz w:val="22"/>
        </w:rPr>
        <w:t>Indien het een interne wijziging noodzakelijk maakt → start MoC-proces (hoofdstuk 3)</w:t>
      </w:r>
    </w:p>
    <w:p>
      <w:pPr>
        <w:pStyle w:val="ListBullet"/>
      </w:pPr>
      <w:r>
        <w:rPr>
          <w:rFonts w:ascii="Calibri" w:hAnsi="Calibri"/>
          <w:sz w:val="22"/>
        </w:rPr>
        <w:t>Indien het een communicatie-afhankelijkheid betreft → informeren van bevoegd gezag en omgeving</w:t>
      </w:r>
    </w:p>
    <w:p>
      <w:pPr>
        <w:pStyle w:val="ListBullet"/>
      </w:pPr>
      <w:r>
        <w:rPr>
          <w:rFonts w:ascii="Calibri" w:hAnsi="Calibri"/>
          <w:sz w:val="22"/>
        </w:rPr>
        <w:t>Indien het de veiligheidsafstanden of externe risico's beïnvloedt → actualiseren van VRIB en GRIP</w:t>
      </w:r>
    </w:p>
    <w:p>
      <w:pPr>
        <w:pStyle w:val="Heading1"/>
      </w:pPr>
      <w:r>
        <w:rPr>
          <w:rFonts w:ascii="Calibri" w:hAnsi="Calibri"/>
          <w:color w:val="003366"/>
        </w:rPr>
        <w:t>10. VBS-Wijzigingenbeheer</w:t>
      </w:r>
    </w:p>
    <w:p>
      <w:pPr>
        <w:pStyle w:val="Heading2"/>
      </w:pPr>
      <w:r>
        <w:rPr>
          <w:rFonts w:ascii="Calibri" w:hAnsi="Calibri"/>
          <w:color w:val="003366"/>
        </w:rPr>
        <w:t>10.1 Wanneer het VBS Zelf Verandert</w:t>
      </w:r>
    </w:p>
    <w:p>
      <w:pPr>
        <w:spacing w:after="120"/>
      </w:pPr>
      <w:r>
        <w:rPr>
          <w:rFonts w:ascii="Calibri" w:hAnsi="Calibri"/>
          <w:sz w:val="22"/>
        </w:rPr>
        <w:t>Structurele wijzigingen aan het VBS — zoals scope-uitbreiding, toevoeging van elementen, of wijziging van de VBS-zwaarte — vereisen een gecontroleerd proces. Triggers:</w:t>
      </w:r>
    </w:p>
    <w:p>
      <w:pPr>
        <w:pStyle w:val="ListBullet"/>
      </w:pPr>
      <w:r>
        <w:rPr>
          <w:rFonts w:ascii="Calibri" w:hAnsi="Calibri"/>
          <w:sz w:val="22"/>
        </w:rPr>
        <w:t>Audit-bevindingen die structurele aanpassing vereisen</w:t>
      </w:r>
    </w:p>
    <w:p>
      <w:pPr>
        <w:pStyle w:val="ListBullet"/>
      </w:pPr>
      <w:r>
        <w:rPr>
          <w:rFonts w:ascii="Calibri" w:hAnsi="Calibri"/>
          <w:sz w:val="22"/>
        </w:rPr>
        <w:t>Incidenten met systeembrede implicaties</w:t>
      </w:r>
    </w:p>
    <w:p>
      <w:pPr>
        <w:pStyle w:val="ListBullet"/>
      </w:pPr>
      <w:r>
        <w:rPr>
          <w:rFonts w:ascii="Calibri" w:hAnsi="Calibri"/>
          <w:sz w:val="22"/>
        </w:rPr>
        <w:t>Wijziging in Seveso-status (opschaling/afschaling)</w:t>
      </w:r>
    </w:p>
    <w:p>
      <w:pPr>
        <w:pStyle w:val="ListBullet"/>
      </w:pPr>
      <w:r>
        <w:rPr>
          <w:rFonts w:ascii="Calibri" w:hAnsi="Calibri"/>
          <w:sz w:val="22"/>
        </w:rPr>
        <w:t>Reorganisatie of wijziging in managementstructuur</w:t>
      </w:r>
    </w:p>
    <w:p>
      <w:pPr>
        <w:pStyle w:val="ListBullet"/>
      </w:pPr>
      <w:r>
        <w:rPr>
          <w:rFonts w:ascii="Calibri" w:hAnsi="Calibri"/>
          <w:sz w:val="22"/>
        </w:rPr>
        <w:t>Nieuwe normatieve eisen (bijv. gewijzigde NTA 8620)</w:t>
      </w:r>
    </w:p>
    <w:p>
      <w:pPr>
        <w:pStyle w:val="Heading2"/>
      </w:pPr>
      <w:r>
        <w:rPr>
          <w:rFonts w:ascii="Calibri" w:hAnsi="Calibri"/>
          <w:color w:val="003366"/>
        </w:rPr>
        <w:t>10.2 Procedure</w:t>
      </w:r>
    </w:p>
    <w:p>
      <w:pPr>
        <w:spacing w:after="120"/>
      </w:pPr>
      <w:r>
        <w:rPr>
          <w:rFonts w:ascii="Calibri" w:hAnsi="Calibri"/>
          <w:sz w:val="22"/>
        </w:rPr>
        <w:t>VBS-wijzigingen doorlopen het volgende traject:</w:t>
      </w:r>
    </w:p>
    <w:p>
      <w:pPr>
        <w:pStyle w:val="ListBullet"/>
      </w:pPr>
      <w:r>
        <w:rPr>
          <w:rFonts w:ascii="Calibri" w:hAnsi="Calibri"/>
          <w:sz w:val="22"/>
        </w:rPr>
        <w:t>Stap 1: Impactanalyse — welke elementen worden geraakt? Wat is de impact op documentatie, training, en compliance?</w:t>
      </w:r>
    </w:p>
    <w:p>
      <w:pPr>
        <w:pStyle w:val="ListBullet"/>
      </w:pPr>
      <w:r>
        <w:rPr>
          <w:rFonts w:ascii="Calibri" w:hAnsi="Calibri"/>
          <w:sz w:val="22"/>
        </w:rPr>
        <w:t>Stap 2: Herziening — opstellen van gewijzigde VBS-documenten</w:t>
      </w:r>
    </w:p>
    <w:p>
      <w:pPr>
        <w:pStyle w:val="ListBullet"/>
      </w:pPr>
      <w:r>
        <w:rPr>
          <w:rFonts w:ascii="Calibri" w:hAnsi="Calibri"/>
          <w:sz w:val="22"/>
        </w:rPr>
        <w:t>Stap 3: Goedkeuring Directie — formele goedkeuring van de VBS-wijziging</w:t>
      </w:r>
    </w:p>
    <w:p>
      <w:pPr>
        <w:pStyle w:val="ListBullet"/>
      </w:pPr>
      <w:r>
        <w:rPr>
          <w:rFonts w:ascii="Calibri" w:hAnsi="Calibri"/>
          <w:sz w:val="22"/>
        </w:rPr>
        <w:t>Stap 4: Communicatie — informeren van alle betrokkenen en stakeholders</w:t>
      </w:r>
    </w:p>
    <w:p>
      <w:pPr>
        <w:pStyle w:val="ListBullet"/>
      </w:pPr>
      <w:r>
        <w:rPr>
          <w:rFonts w:ascii="Calibri" w:hAnsi="Calibri"/>
          <w:sz w:val="22"/>
        </w:rPr>
        <w:t>Stap 5: Implementatie — doorvoeren van aanpassingen met bijbehorende training</w:t>
      </w:r>
    </w:p>
    <w:p>
      <w:pPr>
        <w:pStyle w:val="Heading2"/>
      </w:pPr>
      <w:r>
        <w:rPr>
          <w:rFonts w:ascii="Calibri" w:hAnsi="Calibri"/>
          <w:color w:val="003366"/>
        </w:rPr>
        <w:t>10.3 Documentatie</w:t>
      </w:r>
    </w:p>
    <w:p>
      <w:pPr>
        <w:pStyle w:val="ListBullet"/>
      </w:pPr>
      <w:r>
        <w:rPr>
          <w:rFonts w:ascii="Calibri" w:hAnsi="Calibri"/>
          <w:sz w:val="22"/>
        </w:rPr>
        <w:t>Versiebeheer van alle VBS-documenten via Documentbeheersing</w:t>
      </w:r>
    </w:p>
    <w:p>
      <w:pPr>
        <w:pStyle w:val="ListBullet"/>
      </w:pPr>
      <w:r>
        <w:rPr>
          <w:rFonts w:ascii="Calibri" w:hAnsi="Calibri"/>
          <w:sz w:val="22"/>
        </w:rPr>
        <w:t>Changelog bijhouden met datum, aard van wijziging, en goedkeurder</w:t>
      </w:r>
    </w:p>
    <w:p>
      <w:pPr>
        <w:pStyle w:val="ListBullet"/>
      </w:pPr>
      <w:r>
        <w:rPr>
          <w:rFonts w:ascii="Calibri" w:hAnsi="Calibri"/>
          <w:sz w:val="22"/>
        </w:rPr>
        <w:t>Archivering van voorgaande versies</w:t>
      </w:r>
    </w:p>
    <w:p>
      <w:pPr>
        <w:pStyle w:val="Heading1"/>
      </w:pPr>
      <w:r>
        <w:rPr>
          <w:rFonts w:ascii="Calibri" w:hAnsi="Calibri"/>
          <w:color w:val="003366"/>
        </w:rPr>
        <w:t>11. Drempelwaardenbewaking</w:t>
      </w:r>
    </w:p>
    <w:p>
      <w:pPr>
        <w:pStyle w:val="Heading2"/>
      </w:pPr>
      <w:r>
        <w:rPr>
          <w:rFonts w:ascii="Calibri" w:hAnsi="Calibri"/>
          <w:color w:val="003366"/>
        </w:rPr>
        <w:t>11.1 BRZO Drempelwaarden</w:t>
      </w:r>
    </w:p>
    <w:p>
      <w:pPr>
        <w:spacing w:after="120"/>
      </w:pPr>
      <w:r>
        <w:rPr>
          <w:rFonts w:ascii="Calibri" w:hAnsi="Calibri"/>
          <w:sz w:val="22"/>
        </w:rPr>
        <w:t>BRZO 1999 [2] definieert twee drempelwaarden in bijlage 1:</w:t>
      </w:r>
    </w:p>
    <w:p>
      <w:pPr>
        <w:pStyle w:val="ListBullet"/>
      </w:pPr>
      <w:r>
        <w:rPr>
          <w:rFonts w:ascii="Calibri" w:hAnsi="Calibri"/>
          <w:sz w:val="22"/>
        </w:rPr>
        <w:t>Kolom 1 — lagere drempelwaarde (inrichtingen met mindere overschrijding, lager regime)</w:t>
      </w:r>
    </w:p>
    <w:p>
      <w:pPr>
        <w:pStyle w:val="ListBullet"/>
      </w:pPr>
      <w:r>
        <w:rPr>
          <w:rFonts w:ascii="Calibri" w:hAnsi="Calibri"/>
          <w:sz w:val="22"/>
        </w:rPr>
        <w:t>Kolom 2 — hogere drempelwaarde (inrichtingen met significante overschrijding, hoger regime met strengere eisen)</w:t>
      </w:r>
    </w:p>
    <w:p>
      <w:pPr>
        <w:spacing w:after="120"/>
      </w:pPr>
      <w:r>
        <w:rPr>
          <w:rFonts w:ascii="Calibri" w:hAnsi="Calibri"/>
          <w:sz w:val="22"/>
        </w:rPr>
        <w:t>De actuele stofinventarisatie (Element 2, PM_VBS02_01) vormt de basis voor de drempelwaardentoets.</w:t>
      </w:r>
    </w:p>
    <w:p>
      <w:pPr>
        <w:pStyle w:val="Heading2"/>
      </w:pPr>
      <w:r>
        <w:rPr>
          <w:rFonts w:ascii="Calibri" w:hAnsi="Calibri"/>
          <w:color w:val="003366"/>
        </w:rPr>
        <w:t>11.2 Toetsing bij MoC die Gevaarlijke Stoffen Raakt</w:t>
      </w:r>
    </w:p>
    <w:p>
      <w:pPr>
        <w:spacing w:after="120"/>
      </w:pPr>
      <w:r>
        <w:rPr>
          <w:rFonts w:ascii="Calibri" w:hAnsi="Calibri"/>
          <w:sz w:val="22"/>
        </w:rPr>
        <w:t>Bij elke MoC-aanvraag die betrekking heeft op gevaarlijke stoffen (opslag, gebruik, productie, transport) wordt een drempelwaardentoets uitgevoerd:</w:t>
      </w:r>
    </w:p>
    <w:p>
      <w:pPr>
        <w:pStyle w:val="ListBullet"/>
      </w:pPr>
      <w:r>
        <w:rPr>
          <w:rFonts w:ascii="Calibri" w:hAnsi="Calibri"/>
          <w:sz w:val="22"/>
        </w:rPr>
        <w:t>Berekening van de nieuwe totale hoeveelheid(en) gevaarlijke stoffen</w:t>
      </w:r>
    </w:p>
    <w:p>
      <w:pPr>
        <w:pStyle w:val="ListBullet"/>
      </w:pPr>
      <w:r>
        <w:rPr>
          <w:rFonts w:ascii="Calibri" w:hAnsi="Calibri"/>
          <w:sz w:val="22"/>
        </w:rPr>
        <w:t>Vergelijking met de actuele BRZO-drempelwaarden</w:t>
      </w:r>
    </w:p>
    <w:p>
      <w:pPr>
        <w:pStyle w:val="ListBullet"/>
      </w:pPr>
      <w:r>
        <w:rPr>
          <w:rFonts w:ascii="Calibri" w:hAnsi="Calibri"/>
          <w:sz w:val="22"/>
        </w:rPr>
        <w:t>Beoordeling of de Seveso-status wijzigt</w:t>
      </w:r>
    </w:p>
    <w:p>
      <w:pPr>
        <w:pStyle w:val="Heading2"/>
      </w:pPr>
      <w:r>
        <w:rPr>
          <w:rFonts w:ascii="Calibri" w:hAnsi="Calibri"/>
          <w:color w:val="003366"/>
        </w:rPr>
        <w:t>11.3 Procedure bij Naderen of Overschrijden Drempelwaarde</w:t>
      </w:r>
    </w:p>
    <w:p>
      <w:pPr>
        <w:pStyle w:val="ListBullet"/>
      </w:pPr>
      <w:r>
        <w:rPr>
          <w:rFonts w:ascii="Calibri" w:hAnsi="Calibri"/>
          <w:sz w:val="22"/>
        </w:rPr>
        <w:t>Bij naderen van 80% van een drempelwaarde → signalering aan HSE Manager en Directie</w:t>
      </w:r>
    </w:p>
    <w:p>
      <w:pPr>
        <w:pStyle w:val="ListBullet"/>
      </w:pPr>
      <w:r>
        <w:rPr>
          <w:rFonts w:ascii="Calibri" w:hAnsi="Calibri"/>
          <w:sz w:val="22"/>
        </w:rPr>
        <w:t>Bij overschrijding → directe communicatie met bevoegd gezag</w:t>
      </w:r>
    </w:p>
    <w:p>
      <w:pPr>
        <w:pStyle w:val="ListBullet"/>
      </w:pPr>
      <w:r>
        <w:rPr>
          <w:rFonts w:ascii="Calibri" w:hAnsi="Calibri"/>
          <w:sz w:val="22"/>
        </w:rPr>
        <w:t>Actualisatie van het veiligheidsrapport en VBS-documentatie</w:t>
      </w:r>
    </w:p>
    <w:p>
      <w:pPr>
        <w:pStyle w:val="ListBullet"/>
      </w:pPr>
      <w:r>
        <w:rPr>
          <w:rFonts w:ascii="Calibri" w:hAnsi="Calibri"/>
          <w:sz w:val="22"/>
        </w:rPr>
        <w:t>Indien nodig: aanpassen VBS-zwaarte en rapportageverplichtingen</w:t>
      </w:r>
    </w:p>
    <w:p>
      <w:pPr>
        <w:pStyle w:val="Heading2"/>
      </w:pPr>
      <w:r>
        <w:rPr>
          <w:rFonts w:ascii="Calibri" w:hAnsi="Calibri"/>
          <w:color w:val="003366"/>
        </w:rPr>
        <w:t>11.4 Communicatie naar Bevoegd Gezag</w:t>
      </w:r>
    </w:p>
    <w:p>
      <w:pPr>
        <w:spacing w:after="120"/>
      </w:pPr>
      <w:r>
        <w:rPr>
          <w:rFonts w:ascii="Calibri" w:hAnsi="Calibri"/>
          <w:sz w:val="22"/>
        </w:rPr>
        <w:t>Wijzigingen in de Seveso-status worden conform BRZO 1999 [2] gemeld aan het bevoegd gezag. De communicatie omvat:</w:t>
      </w:r>
    </w:p>
    <w:p>
      <w:pPr>
        <w:pStyle w:val="ListBullet"/>
      </w:pPr>
      <w:r>
        <w:rPr>
          <w:rFonts w:ascii="Calibri" w:hAnsi="Calibri"/>
          <w:sz w:val="22"/>
        </w:rPr>
        <w:t>Notificatie van nieuwe of gewijzigde stofhoeveelheden</w:t>
      </w:r>
    </w:p>
    <w:p>
      <w:pPr>
        <w:pStyle w:val="ListBullet"/>
      </w:pPr>
      <w:r>
        <w:rPr>
          <w:rFonts w:ascii="Calibri" w:hAnsi="Calibri"/>
          <w:sz w:val="22"/>
        </w:rPr>
        <w:t>Actualisatie van het veiligheidsrapport</w:t>
      </w:r>
    </w:p>
    <w:p>
      <w:pPr>
        <w:pStyle w:val="ListBullet"/>
      </w:pPr>
      <w:r>
        <w:rPr>
          <w:rFonts w:ascii="Calibri" w:hAnsi="Calibri"/>
          <w:sz w:val="22"/>
        </w:rPr>
        <w:t>Overleg over eventuele aanvullende eisen</w:t>
      </w:r>
    </w:p>
    <w:p>
      <w:pPr>
        <w:pStyle w:val="Heading1"/>
      </w:pPr>
      <w:r>
        <w:rPr>
          <w:rFonts w:ascii="Calibri" w:hAnsi="Calibri"/>
          <w:color w:val="003366"/>
        </w:rPr>
        <w:t>12. Periodieke Herbeoordeling</w:t>
      </w:r>
    </w:p>
    <w:p>
      <w:pPr>
        <w:pStyle w:val="Heading2"/>
      </w:pPr>
      <w:r>
        <w:rPr>
          <w:rFonts w:ascii="Calibri" w:hAnsi="Calibri"/>
          <w:color w:val="003366"/>
        </w:rPr>
        <w:t>12.1 Jaarlijkse Review Element IV</w:t>
      </w:r>
    </w:p>
    <w:p>
      <w:pPr>
        <w:spacing w:after="120"/>
      </w:pPr>
      <w:r>
        <w:rPr>
          <w:rFonts w:ascii="Calibri" w:hAnsi="Calibri"/>
          <w:sz w:val="22"/>
        </w:rPr>
        <w:t>De gehele Element IV-scope wordt jaarlijks geëvalueerd. De review omvat:</w:t>
      </w:r>
    </w:p>
    <w:p>
      <w:pPr>
        <w:pStyle w:val="ListBullet"/>
      </w:pPr>
      <w:r>
        <w:rPr>
          <w:rFonts w:ascii="Calibri" w:hAnsi="Calibri"/>
          <w:sz w:val="22"/>
        </w:rPr>
        <w:t>Effectiviteit van het MoC-proces (hoofdstuk 3–7)</w:t>
      </w:r>
    </w:p>
    <w:p>
      <w:pPr>
        <w:pStyle w:val="ListBullet"/>
      </w:pPr>
      <w:r>
        <w:rPr>
          <w:rFonts w:ascii="Calibri" w:hAnsi="Calibri"/>
          <w:sz w:val="22"/>
        </w:rPr>
        <w:t>Adequaatheid van regulatory change management (hoofdstuk 8)</w:t>
      </w:r>
    </w:p>
    <w:p>
      <w:pPr>
        <w:pStyle w:val="ListBullet"/>
      </w:pPr>
      <w:r>
        <w:rPr>
          <w:rFonts w:ascii="Calibri" w:hAnsi="Calibri"/>
          <w:sz w:val="22"/>
        </w:rPr>
        <w:t>Relevantie van omgevingsmonitoring-resultaten (hoofdstuk 9)</w:t>
      </w:r>
    </w:p>
    <w:p>
      <w:pPr>
        <w:pStyle w:val="ListBullet"/>
      </w:pPr>
      <w:r>
        <w:rPr>
          <w:rFonts w:ascii="Calibri" w:hAnsi="Calibri"/>
          <w:sz w:val="22"/>
        </w:rPr>
        <w:t>Status van VBS-wijzigingen (hoofdstuk 10)</w:t>
      </w:r>
    </w:p>
    <w:p>
      <w:pPr>
        <w:pStyle w:val="ListBullet"/>
      </w:pPr>
      <w:r>
        <w:rPr>
          <w:rFonts w:ascii="Calibri" w:hAnsi="Calibri"/>
          <w:sz w:val="22"/>
        </w:rPr>
        <w:t>Actualiteit van drempelwaardentoetsing (hoofdstuk 11)</w:t>
      </w:r>
    </w:p>
    <w:p>
      <w:pPr>
        <w:pStyle w:val="Heading2"/>
      </w:pPr>
      <w:r>
        <w:rPr>
          <w:rFonts w:ascii="Calibri" w:hAnsi="Calibri"/>
          <w:color w:val="003366"/>
        </w:rPr>
        <w:t>12.2 Input</w:t>
      </w:r>
    </w:p>
    <w:p>
      <w:pPr>
        <w:pStyle w:val="ListBullet"/>
      </w:pPr>
      <w:r>
        <w:rPr>
          <w:rFonts w:ascii="Calibri" w:hAnsi="Calibri"/>
          <w:sz w:val="22"/>
        </w:rPr>
        <w:t>KPI's uit MoC-register (Doc 05, PM_VBS05_05)</w:t>
      </w:r>
    </w:p>
    <w:p>
      <w:pPr>
        <w:pStyle w:val="ListBullet"/>
      </w:pPr>
      <w:r>
        <w:rPr>
          <w:rFonts w:ascii="Calibri" w:hAnsi="Calibri"/>
          <w:sz w:val="22"/>
        </w:rPr>
        <w:t>Interne en externe audit-resultaten</w:t>
      </w:r>
    </w:p>
    <w:p>
      <w:pPr>
        <w:pStyle w:val="ListBullet"/>
      </w:pPr>
      <w:r>
        <w:rPr>
          <w:rFonts w:ascii="Calibri" w:hAnsi="Calibri"/>
          <w:sz w:val="22"/>
        </w:rPr>
        <w:t>Incidenten en near-misses gerelateerd aan wijzigingen</w:t>
      </w:r>
    </w:p>
    <w:p>
      <w:pPr>
        <w:pStyle w:val="ListBullet"/>
      </w:pPr>
      <w:r>
        <w:rPr>
          <w:rFonts w:ascii="Calibri" w:hAnsi="Calibri"/>
          <w:sz w:val="22"/>
        </w:rPr>
        <w:t>Wetgevingsontwikkelingen en compliance-status</w:t>
      </w:r>
    </w:p>
    <w:p>
      <w:pPr>
        <w:pStyle w:val="ListBullet"/>
      </w:pPr>
      <w:r>
        <w:rPr>
          <w:rFonts w:ascii="Calibri" w:hAnsi="Calibri"/>
          <w:sz w:val="22"/>
        </w:rPr>
        <w:t>Feedback uit operationeel management</w:t>
      </w:r>
    </w:p>
    <w:p>
      <w:pPr>
        <w:pStyle w:val="Heading2"/>
      </w:pPr>
      <w:r>
        <w:rPr>
          <w:rFonts w:ascii="Calibri" w:hAnsi="Calibri"/>
          <w:color w:val="003366"/>
        </w:rPr>
        <w:t>12.3 Output</w:t>
      </w:r>
    </w:p>
    <w:p>
      <w:pPr>
        <w:pStyle w:val="ListBullet"/>
      </w:pPr>
      <w:r>
        <w:rPr>
          <w:rFonts w:ascii="Calibri" w:hAnsi="Calibri"/>
          <w:sz w:val="22"/>
        </w:rPr>
        <w:t>Verbeteracties voor het wijzigingenbeleid en de -procedures</w:t>
      </w:r>
    </w:p>
    <w:p>
      <w:pPr>
        <w:pStyle w:val="ListBullet"/>
      </w:pPr>
      <w:r>
        <w:rPr>
          <w:rFonts w:ascii="Calibri" w:hAnsi="Calibri"/>
          <w:sz w:val="22"/>
        </w:rPr>
        <w:t>Actualisatie van beleidsdocumenten (Doc 01) en procedures (Doc 02)</w:t>
      </w:r>
    </w:p>
    <w:p>
      <w:pPr>
        <w:pStyle w:val="ListBullet"/>
      </w:pPr>
      <w:r>
        <w:rPr>
          <w:rFonts w:ascii="Calibri" w:hAnsi="Calibri"/>
          <w:sz w:val="22"/>
        </w:rPr>
        <w:t>Bijstelling van KPI's en streefwaarden</w:t>
      </w:r>
    </w:p>
    <w:p>
      <w:pPr>
        <w:pStyle w:val="ListBullet"/>
      </w:pPr>
      <w:r>
        <w:rPr>
          <w:rFonts w:ascii="Calibri" w:hAnsi="Calibri"/>
          <w:sz w:val="22"/>
        </w:rPr>
        <w:t>Goedkeuring door Directie</w:t>
      </w:r>
    </w:p>
    <w:p>
      <w:pPr>
        <w:pStyle w:val="Heading2"/>
      </w:pPr>
      <w:r>
        <w:rPr>
          <w:rFonts w:ascii="Calibri" w:hAnsi="Calibri"/>
          <w:color w:val="003366"/>
        </w:rPr>
        <w:t>12.4 Rapportage</w:t>
      </w:r>
    </w:p>
    <w:p>
      <w:pPr>
        <w:spacing w:after="120"/>
      </w:pPr>
      <w:r>
        <w:rPr>
          <w:rFonts w:ascii="Calibri" w:hAnsi="Calibri"/>
          <w:sz w:val="22"/>
        </w:rPr>
        <w:t>De resultaten van de periodieke herbeoordeling worden:</w:t>
      </w:r>
    </w:p>
    <w:p>
      <w:pPr>
        <w:pStyle w:val="ListBullet"/>
      </w:pPr>
      <w:r>
        <w:rPr>
          <w:rFonts w:ascii="Calibri" w:hAnsi="Calibri"/>
          <w:sz w:val="22"/>
        </w:rPr>
        <w:t>Gedocumenteerd in een Element IV-evaluatierapport</w:t>
      </w:r>
    </w:p>
    <w:p>
      <w:pPr>
        <w:pStyle w:val="ListBullet"/>
      </w:pPr>
      <w:r>
        <w:rPr>
          <w:rFonts w:ascii="Calibri" w:hAnsi="Calibri"/>
          <w:sz w:val="22"/>
        </w:rPr>
        <w:t>Gepresenteerd aan de Directie</w:t>
      </w:r>
    </w:p>
    <w:p>
      <w:pPr>
        <w:pStyle w:val="ListBullet"/>
      </w:pPr>
      <w:r>
        <w:rPr>
          <w:rFonts w:ascii="Calibri" w:hAnsi="Calibri"/>
          <w:sz w:val="22"/>
        </w:rPr>
        <w:t>Geïntegreerd in de Management Review (VBS Element VII)</w:t>
      </w:r>
    </w:p>
    <w:p>
      <w:pPr>
        <w:pStyle w:val="Heading1"/>
      </w:pPr>
      <w:r>
        <w:t>Bronnenlijst</w:t>
      </w:r>
    </w:p>
    <w:p>
      <w:pPr>
        <w:spacing w:after="80"/>
      </w:pPr>
      <w:r>
        <w:t>[1] JvG Consultancy, "Management of Change — Beleid &amp; Kaderdocument" (PM_VBS05_01), Versie 1.0, 2026.</w:t>
      </w:r>
    </w:p>
    <w:p>
      <w:pPr>
        <w:spacing w:after="80"/>
      </w:pPr>
      <w:r>
        <w:t>[2] Europese Unie, Richtlijn 2012/18/EU (Seveso III), "Richtlijn van het Europees Parlement en de Raad betreffende de beheersing van gevaren voor zware ongevallen waarbij gevaarlijke stoffen betrokken zijn", PB L 197/1, 24 juli 2012.</w:t>
      </w:r>
    </w:p>
    <w:p>
      <w:pPr>
        <w:spacing w:after="80"/>
      </w:pPr>
      <w:r>
        <w:t>[3] Besluit risico's zware ongevallen (BRZO 1999), Stb. 1999, 369, zoals gewijzigd.</w:t>
      </w:r>
    </w:p>
    <w:p>
      <w:pPr>
        <w:spacing w:after="80"/>
      </w:pPr>
      <w:r>
        <w:t>[4] Phoenix Metals, VBS Element II — Gevaaridentificatie &amp; Risico-evaluatie (PM_VBS02_XX).</w:t>
      </w:r>
    </w:p>
    <w:p>
      <w:pPr>
        <w:spacing w:after="80"/>
      </w:pPr>
      <w:r>
        <w:t>[5] Phoenix Metals, VBS Element III — Operationele controle (PM_VBS03_XX).</w:t>
      </w:r>
    </w:p>
    <w:p>
      <w:pPr>
        <w:spacing w:after="80"/>
      </w:pPr>
      <w:r>
        <w:t>[6] JvG Consultancy, "MoC Classificatiematrix" (PM_VBS05_03), Versie 1.0, 2026.</w:t>
      </w:r>
    </w:p>
    <w:p>
      <w:pPr>
        <w:spacing w:after="80"/>
      </w:pPr>
      <w:r>
        <w:t>[7] JvG Consultancy, "MoC Formulierenpakket" (PM_VBS05_04), Versie 1.0, 2026.</w:t>
      </w:r>
    </w:p>
    <w:p>
      <w:pPr>
        <w:spacing w:after="80"/>
      </w:pPr>
      <w:r>
        <w:t>[8] JvG Consultancy, "MoC Register" (PM_VBS05_05), Versie 1.0, 2026.</w:t>
      </w:r>
    </w:p>
    <w:p>
      <w:pPr>
        <w:spacing w:after="80"/>
      </w:pPr>
      <w:r>
        <w:t>[9] ISO 45001:2018, "Occupational health and safety management systems — Requirements with guidance for use", artikel 8.1.3.</w:t>
      </w:r>
    </w:p>
    <w:p>
      <w:pPr>
        <w:spacing w:after="80"/>
      </w:pPr>
      <w:r>
        <w:t>[10] Center for Chemical Process Safety (CCPS), "Guidelines for the Management of Change for Process Safety", AIChE, 2008.</w:t>
      </w:r>
    </w:p>
    <w:p>
      <w:r>
        <w:br w:type="page"/>
      </w:r>
    </w:p>
    <w:p>
      <w:pPr>
        <w:pStyle w:val="Heading1"/>
      </w:pPr>
      <w:r>
        <w:t>TierVerify Log</w:t>
      </w:r>
    </w:p>
    <w:p>
      <w:r>
        <w:t>Dit document is gegenereerd conform de TierVerify-methodiek. Onderstaande tabel toont de verificatiestappen.</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pPr>
              <w:jc w:val="center"/>
            </w:pPr>
            <w:r/>
            <w:r>
              <w:rPr>
                <w:rFonts w:ascii="Calibri" w:hAnsi="Calibri"/>
                <w:b/>
                <w:color w:val="FFFFFF"/>
                <w:sz w:val="20"/>
              </w:rPr>
              <w:t>#</w:t>
            </w:r>
          </w:p>
        </w:tc>
        <w:tc>
          <w:tcPr>
            <w:tcW w:type="dxa" w:w="2268"/>
            <w:shd w:fill="003366"/>
          </w:tcPr>
          <w:p>
            <w:pPr>
              <w:jc w:val="center"/>
            </w:pPr>
            <w:r/>
            <w:r>
              <w:rPr>
                <w:rFonts w:ascii="Calibri" w:hAnsi="Calibri"/>
                <w:b/>
                <w:color w:val="FFFFFF"/>
                <w:sz w:val="20"/>
              </w:rPr>
              <w:t>Controle</w:t>
            </w:r>
          </w:p>
        </w:tc>
        <w:tc>
          <w:tcPr>
            <w:tcW w:type="dxa" w:w="2268"/>
            <w:shd w:fill="003366"/>
          </w:tcPr>
          <w:p>
            <w:pPr>
              <w:jc w:val="center"/>
            </w:pPr>
            <w:r/>
            <w:r>
              <w:rPr>
                <w:rFonts w:ascii="Calibri" w:hAnsi="Calibri"/>
                <w:b/>
                <w:color w:val="FFFFFF"/>
                <w:sz w:val="20"/>
              </w:rPr>
              <w:t>Bron</w:t>
            </w:r>
          </w:p>
        </w:tc>
        <w:tc>
          <w:tcPr>
            <w:tcW w:type="dxa" w:w="2268"/>
            <w:shd w:fill="003366"/>
          </w:tcPr>
          <w:p>
            <w:pPr>
              <w:jc w:val="center"/>
            </w:pPr>
            <w:r/>
            <w:r>
              <w:rPr>
                <w:rFonts w:ascii="Calibri" w:hAnsi="Calibri"/>
                <w:b/>
                <w:color w:val="FFFFFF"/>
                <w:sz w:val="20"/>
              </w:rPr>
              <w:t>Status</w:t>
            </w:r>
          </w:p>
        </w:tc>
      </w:tr>
      <w:tr>
        <w:tc>
          <w:tcPr>
            <w:tcW w:type="dxa" w:w="2268"/>
          </w:tcPr>
          <w:p>
            <w:r/>
            <w:r>
              <w:rPr>
                <w:rFonts w:ascii="Calibri" w:hAnsi="Calibri"/>
                <w:color w:val="1F2937"/>
                <w:sz w:val="20"/>
              </w:rPr>
              <w:t>1</w:t>
            </w:r>
          </w:p>
        </w:tc>
        <w:tc>
          <w:tcPr>
            <w:tcW w:type="dxa" w:w="2268"/>
          </w:tcPr>
          <w:p>
            <w:r/>
            <w:r>
              <w:rPr>
                <w:rFonts w:ascii="Calibri" w:hAnsi="Calibri"/>
                <w:color w:val="1F2937"/>
                <w:sz w:val="20"/>
              </w:rPr>
              <w:t>Wettelijk kader correct weergegeven (Seveso III, BRZO 1999)</w:t>
            </w:r>
          </w:p>
        </w:tc>
        <w:tc>
          <w:tcPr>
            <w:tcW w:type="dxa" w:w="2268"/>
          </w:tcPr>
          <w:p>
            <w:r/>
            <w:r>
              <w:rPr>
                <w:rFonts w:ascii="Calibri" w:hAnsi="Calibri"/>
                <w:color w:val="1F2937"/>
                <w:sz w:val="20"/>
              </w:rPr>
              <w:t>Richtlijn 2012/18/EU; Stb. 1999, 369</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2</w:t>
            </w:r>
          </w:p>
        </w:tc>
        <w:tc>
          <w:tcPr>
            <w:tcW w:type="dxa" w:w="2268"/>
          </w:tcPr>
          <w:p>
            <w:r/>
            <w:r>
              <w:rPr>
                <w:rFonts w:ascii="Calibri" w:hAnsi="Calibri"/>
                <w:color w:val="1F2937"/>
                <w:sz w:val="20"/>
              </w:rPr>
              <w:t>VBS Element IV eisen verwerkt in procedure</w:t>
            </w:r>
          </w:p>
        </w:tc>
        <w:tc>
          <w:tcPr>
            <w:tcW w:type="dxa" w:w="2268"/>
          </w:tcPr>
          <w:p>
            <w:r/>
            <w:r>
              <w:rPr>
                <w:rFonts w:ascii="Calibri" w:hAnsi="Calibri"/>
                <w:color w:val="1F2937"/>
                <w:sz w:val="20"/>
              </w:rPr>
              <w:t>PM_VBS05_01; VBS Element IV</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3</w:t>
            </w:r>
          </w:p>
        </w:tc>
        <w:tc>
          <w:tcPr>
            <w:tcW w:type="dxa" w:w="2268"/>
          </w:tcPr>
          <w:p>
            <w:r/>
            <w:r>
              <w:rPr>
                <w:rFonts w:ascii="Calibri" w:hAnsi="Calibri"/>
                <w:color w:val="1F2937"/>
                <w:sz w:val="20"/>
              </w:rPr>
              <w:t>9-fasenstructuur compleet en consistent</w:t>
            </w:r>
          </w:p>
        </w:tc>
        <w:tc>
          <w:tcPr>
            <w:tcW w:type="dxa" w:w="2268"/>
          </w:tcPr>
          <w:p>
            <w:r/>
            <w:r>
              <w:rPr>
                <w:rFonts w:ascii="Calibri" w:hAnsi="Calibri"/>
                <w:color w:val="1F2937"/>
                <w:sz w:val="20"/>
              </w:rPr>
              <w:t>CCPS Guidelines; PM_VBS05_01</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4</w:t>
            </w:r>
          </w:p>
        </w:tc>
        <w:tc>
          <w:tcPr>
            <w:tcW w:type="dxa" w:w="2268"/>
          </w:tcPr>
          <w:p>
            <w:r/>
            <w:r>
              <w:rPr>
                <w:rFonts w:ascii="Calibri" w:hAnsi="Calibri"/>
                <w:color w:val="1F2937"/>
                <w:sz w:val="20"/>
              </w:rPr>
              <w:t>RACI matrix volledig (9 fasen × 5 rollen)</w:t>
            </w:r>
          </w:p>
        </w:tc>
        <w:tc>
          <w:tcPr>
            <w:tcW w:type="dxa" w:w="2268"/>
          </w:tcPr>
          <w:p>
            <w:r/>
            <w:r>
              <w:rPr>
                <w:rFonts w:ascii="Calibri" w:hAnsi="Calibri"/>
                <w:color w:val="1F2937"/>
                <w:sz w:val="20"/>
              </w:rPr>
              <w:t>Intern review</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5</w:t>
            </w:r>
          </w:p>
        </w:tc>
        <w:tc>
          <w:tcPr>
            <w:tcW w:type="dxa" w:w="2268"/>
          </w:tcPr>
          <w:p>
            <w:r/>
            <w:r>
              <w:rPr>
                <w:rFonts w:ascii="Calibri" w:hAnsi="Calibri"/>
                <w:color w:val="1F2937"/>
                <w:sz w:val="20"/>
              </w:rPr>
              <w:t>Spoedprocedure criteria conform beleidsdocument</w:t>
            </w:r>
          </w:p>
        </w:tc>
        <w:tc>
          <w:tcPr>
            <w:tcW w:type="dxa" w:w="2268"/>
          </w:tcPr>
          <w:p>
            <w:r/>
            <w:r>
              <w:rPr>
                <w:rFonts w:ascii="Calibri" w:hAnsi="Calibri"/>
                <w:color w:val="1F2937"/>
                <w:sz w:val="20"/>
              </w:rPr>
              <w:t>PM_VBS05_01, §4.4</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6</w:t>
            </w:r>
          </w:p>
        </w:tc>
        <w:tc>
          <w:tcPr>
            <w:tcW w:type="dxa" w:w="2268"/>
          </w:tcPr>
          <w:p>
            <w:r/>
            <w:r>
              <w:rPr>
                <w:rFonts w:ascii="Calibri" w:hAnsi="Calibri"/>
                <w:color w:val="1F2937"/>
                <w:sz w:val="20"/>
              </w:rPr>
              <w:t>KPI's meetbaar en conform PM_VBS05_05 register</w:t>
            </w:r>
          </w:p>
        </w:tc>
        <w:tc>
          <w:tcPr>
            <w:tcW w:type="dxa" w:w="2268"/>
          </w:tcPr>
          <w:p>
            <w:r/>
            <w:r>
              <w:rPr>
                <w:rFonts w:ascii="Calibri" w:hAnsi="Calibri"/>
                <w:color w:val="1F2937"/>
                <w:sz w:val="20"/>
              </w:rPr>
              <w:t>PM_VBS05_05; Best practices</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7</w:t>
            </w:r>
          </w:p>
        </w:tc>
        <w:tc>
          <w:tcPr>
            <w:tcW w:type="dxa" w:w="2268"/>
          </w:tcPr>
          <w:p>
            <w:r/>
            <w:r>
              <w:rPr>
                <w:rFonts w:ascii="Calibri" w:hAnsi="Calibri"/>
                <w:color w:val="1F2937"/>
                <w:sz w:val="20"/>
              </w:rPr>
              <w:t>Bronverwijzingen correct en volledig</w:t>
            </w:r>
          </w:p>
        </w:tc>
        <w:tc>
          <w:tcPr>
            <w:tcW w:type="dxa" w:w="2268"/>
          </w:tcPr>
          <w:p>
            <w:r/>
            <w:r>
              <w:rPr>
                <w:rFonts w:ascii="Calibri" w:hAnsi="Calibri"/>
                <w:color w:val="1F2937"/>
                <w:sz w:val="20"/>
              </w:rPr>
              <w:t>[1]–[10]</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8</w:t>
            </w:r>
          </w:p>
        </w:tc>
        <w:tc>
          <w:tcPr>
            <w:tcW w:type="dxa" w:w="2268"/>
          </w:tcPr>
          <w:p>
            <w:r/>
            <w:r>
              <w:rPr>
                <w:rFonts w:ascii="Calibri" w:hAnsi="Calibri"/>
                <w:color w:val="1F2937"/>
                <w:sz w:val="20"/>
              </w:rPr>
              <w:t>Consistentie met Doc 1 (PM_VBS05_01) terminologie</w:t>
            </w:r>
          </w:p>
        </w:tc>
        <w:tc>
          <w:tcPr>
            <w:tcW w:type="dxa" w:w="2268"/>
          </w:tcPr>
          <w:p>
            <w:r/>
            <w:r>
              <w:rPr>
                <w:rFonts w:ascii="Calibri" w:hAnsi="Calibri"/>
                <w:color w:val="1F2937"/>
                <w:sz w:val="20"/>
              </w:rPr>
              <w:t>PM_VBS05_01</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9</w:t>
            </w:r>
          </w:p>
        </w:tc>
        <w:tc>
          <w:tcPr>
            <w:tcW w:type="dxa" w:w="2268"/>
          </w:tcPr>
          <w:p>
            <w:r/>
            <w:r>
              <w:rPr>
                <w:rFonts w:ascii="Calibri" w:hAnsi="Calibri"/>
                <w:color w:val="1F2937"/>
                <w:sz w:val="20"/>
              </w:rPr>
              <w:t>Documentbeheersing conform MASTER_STYLEGUIDE §2.1</w:t>
            </w:r>
          </w:p>
        </w:tc>
        <w:tc>
          <w:tcPr>
            <w:tcW w:type="dxa" w:w="2268"/>
          </w:tcPr>
          <w:p>
            <w:r/>
            <w:r>
              <w:rPr>
                <w:rFonts w:ascii="Calibri" w:hAnsi="Calibri"/>
                <w:color w:val="1F2937"/>
                <w:sz w:val="20"/>
              </w:rPr>
              <w:t>MASTER_STYLEGUIDE</w:t>
            </w:r>
          </w:p>
        </w:tc>
        <w:tc>
          <w:tcPr>
            <w:tcW w:type="dxa" w:w="2268"/>
          </w:tcPr>
          <w:p>
            <w:r/>
            <w:r>
              <w:rPr>
                <w:rFonts w:ascii="Calibri" w:hAnsi="Calibri"/>
                <w:color w:val="1F2937"/>
                <w:sz w:val="20"/>
              </w:rPr>
              <w:t>✅ Geverifieerd</w:t>
            </w:r>
          </w:p>
        </w:tc>
      </w:tr>
      <w:tr>
        <w:tc>
          <w:tcPr>
            <w:tcW w:type="dxa" w:w="2268"/>
          </w:tcPr>
          <w:p>
            <w:r/>
            <w:r>
              <w:rPr>
                <w:rFonts w:ascii="Calibri" w:hAnsi="Calibri"/>
                <w:color w:val="1F2937"/>
                <w:sz w:val="20"/>
              </w:rPr>
              <w:t>10</w:t>
            </w:r>
          </w:p>
        </w:tc>
        <w:tc>
          <w:tcPr>
            <w:tcW w:type="dxa" w:w="2268"/>
          </w:tcPr>
          <w:p>
            <w:r/>
            <w:r>
              <w:rPr>
                <w:rFonts w:ascii="Calibri" w:hAnsi="Calibri"/>
                <w:color w:val="1F2937"/>
                <w:sz w:val="20"/>
              </w:rPr>
              <w:t>Bewaartermijnen conform BRZO 1999 eisen</w:t>
            </w:r>
          </w:p>
        </w:tc>
        <w:tc>
          <w:tcPr>
            <w:tcW w:type="dxa" w:w="2268"/>
          </w:tcPr>
          <w:p>
            <w:r/>
            <w:r>
              <w:rPr>
                <w:rFonts w:ascii="Calibri" w:hAnsi="Calibri"/>
                <w:color w:val="1F2937"/>
                <w:sz w:val="20"/>
              </w:rPr>
              <w:t>Stb. 1999, 369</w:t>
            </w:r>
          </w:p>
        </w:tc>
        <w:tc>
          <w:tcPr>
            <w:tcW w:type="dxa" w:w="2268"/>
          </w:tcPr>
          <w:p>
            <w:r/>
            <w:r>
              <w:rPr>
                <w:rFonts w:ascii="Calibri" w:hAnsi="Calibri"/>
                <w:color w:val="1F2937"/>
                <w:sz w:val="20"/>
              </w:rPr>
              <w:t>✅ Geverifieerd</w:t>
            </w:r>
          </w:p>
        </w:tc>
      </w:tr>
    </w:tbl>
    <w:p/>
    <w:p>
      <w:r>
        <w:rPr>
          <w:rFonts w:ascii="Calibri" w:hAnsi="Calibri"/>
          <w:b/>
          <w:sz w:val="22"/>
        </w:rPr>
        <w:t>TierVerify afsluiting:</w:t>
      </w:r>
    </w:p>
    <w:p>
      <w:r>
        <w:t>Alle 10 verificatiecontroles zijn succesvol uitgevoerd. Dit document voldoet aan de gestelde kwaliteitseisen en is gereed voor review en goedkeuring.</w:t>
      </w:r>
    </w:p>
    <w:p>
      <w:r>
        <w:rPr>
          <w:rFonts w:ascii="Calibri" w:hAnsi="Calibri"/>
          <w:sz w:val="22"/>
        </w:rPr>
        <w:t>Afsluitdatum: 29-04-2026</w:t>
      </w:r>
    </w:p>
    <w:p>
      <w:r>
        <w:rPr>
          <w:rFonts w:ascii="Calibri" w:hAnsi="Calibri"/>
          <w:sz w:val="22"/>
        </w:rPr>
        <w:t>Verificatie door: JvG Consultancy</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p>
    <w:pPr>
      <w:jc w:val="right"/>
    </w:pPr>
    <w:r>
      <w:drawing>
        <wp:inline xmlns:a="http://schemas.openxmlformats.org/drawingml/2006/main" xmlns:pic="http://schemas.openxmlformats.org/drawingml/2006/picture">
          <wp:extent cx="720000" cy="648000"/>
          <wp:docPr id="2" name="Picture 2"/>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