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Calibri" w:hAnsi="Calibri"/>
          <w:b/>
          <w:color w:val="003366"/>
          <w:sz w:val="48"/>
        </w:rPr>
        <w:t>JvG Consultancy</w:t>
      </w:r>
    </w:p>
    <w:p>
      <w:pPr>
        <w:jc w:val="center"/>
      </w:pPr>
      <w:r>
        <w:rPr>
          <w:color w:val="666666"/>
          <w:sz w:val="24"/>
        </w:rPr>
        <w:t>Safety • Governance • Advisory</w:t>
      </w:r>
    </w:p>
    <w:p/>
    <w:p>
      <w:pPr>
        <w:jc w:val="center"/>
      </w:pPr>
      <w:r>
        <w:rPr>
          <w:b/>
          <w:color w:val="003366"/>
          <w:sz w:val="56"/>
        </w:rPr>
        <w:t>Management of Change</w:t>
      </w:r>
    </w:p>
    <w:p>
      <w:pPr>
        <w:jc w:val="center"/>
      </w:pPr>
      <w:r>
        <w:rPr>
          <w:b/>
          <w:color w:val="003366"/>
          <w:sz w:val="44"/>
        </w:rPr>
        <w:t>Beleid &amp; Kaderdocument</w:t>
      </w:r>
    </w:p>
    <w:p>
      <w:pPr>
        <w:jc w:val="center"/>
      </w:pPr>
      <w:r>
        <w:rPr>
          <w:color w:val="666666"/>
          <w:sz w:val="28"/>
        </w:rPr>
        <w:t>BRZO Element IV — VBS Element 5</w:t>
      </w:r>
    </w:p>
    <w:p>
      <w:pPr>
        <w:jc w:val="center"/>
      </w:pPr>
      <w:r>
        <w:rPr>
          <w:b/>
          <w:color w:val="1F2937"/>
          <w:sz w:val="32"/>
        </w:rPr>
        <w:t>Phoenix Metals</w:t>
      </w:r>
    </w:p>
    <w:p/>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Veld</w:t>
            </w:r>
          </w:p>
        </w:tc>
        <w:tc>
          <w:tcPr>
            <w:tcW w:type="dxa" w:w="6803"/>
            <w:shd w:fill="003366"/>
          </w:tcPr>
          <w:p>
            <w:r/>
            <w:r>
              <w:rPr>
                <w:rFonts w:ascii="Calibri" w:hAnsi="Calibri"/>
                <w:b/>
                <w:color w:val="FFFFFF"/>
                <w:sz w:val="20"/>
              </w:rPr>
              <w:t>Waarde</w:t>
            </w:r>
          </w:p>
        </w:tc>
      </w:tr>
      <w:tr>
        <w:tc>
          <w:tcPr>
            <w:tcW w:type="dxa" w:w="2835"/>
          </w:tcPr>
          <w:p>
            <w:r/>
            <w:r>
              <w:rPr>
                <w:rFonts w:ascii="Calibri" w:hAnsi="Calibri"/>
                <w:color w:val="1F2937"/>
                <w:sz w:val="20"/>
              </w:rPr>
              <w:t>Project</w:t>
            </w:r>
          </w:p>
        </w:tc>
        <w:tc>
          <w:tcPr>
            <w:tcW w:type="dxa" w:w="6803"/>
          </w:tcPr>
          <w:p>
            <w:r/>
            <w:r>
              <w:rPr>
                <w:rFonts w:ascii="Calibri" w:hAnsi="Calibri"/>
                <w:color w:val="1F2937"/>
                <w:sz w:val="20"/>
              </w:rPr>
              <w:t>VBS Element 5 — Management of Change</w:t>
            </w:r>
          </w:p>
        </w:tc>
      </w:tr>
      <w:tr>
        <w:tc>
          <w:tcPr>
            <w:tcW w:type="dxa" w:w="2835"/>
            <w:shd w:fill="F0F4F8"/>
          </w:tcPr>
          <w:p>
            <w:r/>
            <w:r>
              <w:rPr>
                <w:rFonts w:ascii="Calibri" w:hAnsi="Calibri"/>
                <w:color w:val="1F2937"/>
                <w:sz w:val="20"/>
              </w:rPr>
              <w:t>Documenttype</w:t>
            </w:r>
          </w:p>
        </w:tc>
        <w:tc>
          <w:tcPr>
            <w:tcW w:type="dxa" w:w="6803"/>
            <w:shd w:fill="F0F4F8"/>
          </w:tcPr>
          <w:p>
            <w:r/>
            <w:r>
              <w:rPr>
                <w:rFonts w:ascii="Calibri" w:hAnsi="Calibri"/>
                <w:color w:val="1F2937"/>
                <w:sz w:val="20"/>
              </w:rPr>
              <w:t>Beleid &amp; Kaderdocument</w:t>
            </w:r>
          </w:p>
        </w:tc>
      </w:tr>
      <w:tr>
        <w:tc>
          <w:tcPr>
            <w:tcW w:type="dxa" w:w="2835"/>
          </w:tcPr>
          <w:p>
            <w:r/>
            <w:r>
              <w:rPr>
                <w:rFonts w:ascii="Calibri" w:hAnsi="Calibri"/>
                <w:color w:val="1F2937"/>
                <w:sz w:val="20"/>
              </w:rPr>
              <w:t>Documentcode</w:t>
            </w:r>
          </w:p>
        </w:tc>
        <w:tc>
          <w:tcPr>
            <w:tcW w:type="dxa" w:w="6803"/>
          </w:tcPr>
          <w:p>
            <w:r/>
            <w:r>
              <w:rPr>
                <w:rFonts w:ascii="Calibri" w:hAnsi="Calibri"/>
                <w:color w:val="1F2937"/>
                <w:sz w:val="20"/>
              </w:rPr>
              <w:t>PM_VBS05_01</w:t>
            </w:r>
          </w:p>
        </w:tc>
      </w:tr>
      <w:tr>
        <w:tc>
          <w:tcPr>
            <w:tcW w:type="dxa" w:w="2835"/>
            <w:shd w:fill="F0F4F8"/>
          </w:tcPr>
          <w:p>
            <w:r/>
            <w:r>
              <w:rPr>
                <w:rFonts w:ascii="Calibri" w:hAnsi="Calibri"/>
                <w:color w:val="1F2937"/>
                <w:sz w:val="20"/>
              </w:rPr>
              <w:t>Auteur</w:t>
            </w:r>
          </w:p>
        </w:tc>
        <w:tc>
          <w:tcPr>
            <w:tcW w:type="dxa" w:w="6803"/>
            <w:shd w:fill="F0F4F8"/>
          </w:tcPr>
          <w:p>
            <w:r/>
            <w:r>
              <w:rPr>
                <w:rFonts w:ascii="Calibri" w:hAnsi="Calibri"/>
                <w:color w:val="1F2937"/>
                <w:sz w:val="20"/>
              </w:rPr>
              <w:t>JvG Consultancy</w:t>
            </w:r>
          </w:p>
        </w:tc>
      </w:tr>
      <w:tr>
        <w:tc>
          <w:tcPr>
            <w:tcW w:type="dxa" w:w="2835"/>
          </w:tcPr>
          <w:p>
            <w:r/>
            <w:r>
              <w:rPr>
                <w:rFonts w:ascii="Calibri" w:hAnsi="Calibri"/>
                <w:color w:val="1F2937"/>
                <w:sz w:val="20"/>
              </w:rPr>
              <w:t>Versie</w:t>
            </w:r>
          </w:p>
        </w:tc>
        <w:tc>
          <w:tcPr>
            <w:tcW w:type="dxa" w:w="6803"/>
          </w:tcPr>
          <w:p>
            <w:r/>
            <w:r>
              <w:rPr>
                <w:rFonts w:ascii="Calibri" w:hAnsi="Calibri"/>
                <w:color w:val="1F2937"/>
                <w:sz w:val="20"/>
              </w:rPr>
              <w:t>1.0</w:t>
            </w:r>
          </w:p>
        </w:tc>
      </w:tr>
      <w:tr>
        <w:tc>
          <w:tcPr>
            <w:tcW w:type="dxa" w:w="2835"/>
            <w:shd w:fill="F0F4F8"/>
          </w:tcPr>
          <w:p>
            <w:r/>
            <w:r>
              <w:rPr>
                <w:rFonts w:ascii="Calibri" w:hAnsi="Calibri"/>
                <w:color w:val="1F2937"/>
                <w:sz w:val="20"/>
              </w:rPr>
              <w:t>Datum</w:t>
            </w:r>
          </w:p>
        </w:tc>
        <w:tc>
          <w:tcPr>
            <w:tcW w:type="dxa" w:w="6803"/>
            <w:shd w:fill="F0F4F8"/>
          </w:tcPr>
          <w:p>
            <w:r/>
            <w:r>
              <w:rPr>
                <w:rFonts w:ascii="Calibri" w:hAnsi="Calibri"/>
                <w:color w:val="1F2937"/>
                <w:sz w:val="20"/>
              </w:rPr>
              <w:t>29 april 2026</w:t>
            </w:r>
          </w:p>
        </w:tc>
      </w:tr>
      <w:tr>
        <w:tc>
          <w:tcPr>
            <w:tcW w:type="dxa" w:w="2835"/>
          </w:tcPr>
          <w:p>
            <w:r/>
            <w:r>
              <w:rPr>
                <w:rFonts w:ascii="Calibri" w:hAnsi="Calibri"/>
                <w:color w:val="1F2937"/>
                <w:sz w:val="20"/>
              </w:rPr>
              <w:t>Status</w:t>
            </w:r>
          </w:p>
        </w:tc>
        <w:tc>
          <w:tcPr>
            <w:tcW w:type="dxa" w:w="6803"/>
          </w:tcPr>
          <w:p>
            <w:r/>
            <w:r>
              <w:rPr>
                <w:rFonts w:ascii="Calibri" w:hAnsi="Calibri"/>
                <w:color w:val="1F2937"/>
                <w:sz w:val="20"/>
              </w:rPr>
              <w:t>Definitief — Ter goedkeuring</w:t>
            </w:r>
          </w:p>
        </w:tc>
      </w:tr>
      <w:tr>
        <w:tc>
          <w:tcPr>
            <w:tcW w:type="dxa" w:w="2835"/>
            <w:shd w:fill="F0F4F8"/>
          </w:tcPr>
          <w:p>
            <w:r/>
            <w:r>
              <w:rPr>
                <w:rFonts w:ascii="Calibri" w:hAnsi="Calibri"/>
                <w:color w:val="1F2937"/>
                <w:sz w:val="20"/>
              </w:rPr>
              <w:t>Classificatie</w:t>
            </w:r>
          </w:p>
        </w:tc>
        <w:tc>
          <w:tcPr>
            <w:tcW w:type="dxa" w:w="6803"/>
            <w:shd w:fill="F0F4F8"/>
          </w:tcPr>
          <w:p>
            <w:r/>
            <w:r>
              <w:rPr>
                <w:rFonts w:ascii="Calibri" w:hAnsi="Calibri"/>
                <w:color w:val="1F2937"/>
                <w:sz w:val="20"/>
              </w:rPr>
              <w:t>Vertrouwelijk</w:t>
            </w:r>
          </w:p>
        </w:tc>
      </w:tr>
    </w:tbl>
    <w:p>
      <w:r>
        <w:br w:type="page"/>
      </w:r>
    </w:p>
    <w:p>
      <w:pPr>
        <w:pStyle w:val="Heading1"/>
      </w:pPr>
      <w:r>
        <w:t>Documentbeheersing</w:t>
      </w:r>
    </w:p>
    <w:p>
      <w:pPr>
        <w:pStyle w:val="Heading2"/>
      </w:pPr>
      <w:r>
        <w:t>Versiebeheer</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134"/>
            <w:shd w:fill="003366"/>
          </w:tcPr>
          <w:p>
            <w:r/>
            <w:r>
              <w:rPr>
                <w:rFonts w:ascii="Calibri" w:hAnsi="Calibri"/>
                <w:b/>
                <w:color w:val="FFFFFF"/>
                <w:sz w:val="20"/>
              </w:rPr>
              <w:t>Versie</w:t>
            </w:r>
          </w:p>
        </w:tc>
        <w:tc>
          <w:tcPr>
            <w:tcW w:type="dxa" w:w="1701"/>
            <w:shd w:fill="003366"/>
          </w:tcPr>
          <w:p>
            <w:r/>
            <w:r>
              <w:rPr>
                <w:rFonts w:ascii="Calibri" w:hAnsi="Calibri"/>
                <w:b/>
                <w:color w:val="FFFFFF"/>
                <w:sz w:val="20"/>
              </w:rPr>
              <w:t>Datum</w:t>
            </w:r>
          </w:p>
        </w:tc>
        <w:tc>
          <w:tcPr>
            <w:tcW w:type="dxa" w:w="2268"/>
            <w:shd w:fill="003366"/>
          </w:tcPr>
          <w:p>
            <w:r/>
            <w:r>
              <w:rPr>
                <w:rFonts w:ascii="Calibri" w:hAnsi="Calibri"/>
                <w:b/>
                <w:color w:val="FFFFFF"/>
                <w:sz w:val="20"/>
              </w:rPr>
              <w:t>Auteur</w:t>
            </w:r>
          </w:p>
        </w:tc>
        <w:tc>
          <w:tcPr>
            <w:tcW w:type="dxa" w:w="4535"/>
            <w:shd w:fill="003366"/>
          </w:tcPr>
          <w:p>
            <w:r/>
            <w:r>
              <w:rPr>
                <w:rFonts w:ascii="Calibri" w:hAnsi="Calibri"/>
                <w:b/>
                <w:color w:val="FFFFFF"/>
                <w:sz w:val="20"/>
              </w:rPr>
              <w:t>Beschrijving</w:t>
            </w:r>
          </w:p>
        </w:tc>
      </w:tr>
      <w:tr>
        <w:tc>
          <w:tcPr>
            <w:tcW w:type="dxa" w:w="1134"/>
          </w:tcPr>
          <w:p>
            <w:r/>
            <w:r>
              <w:rPr>
                <w:rFonts w:ascii="Calibri" w:hAnsi="Calibri"/>
                <w:color w:val="1F2937"/>
                <w:sz w:val="20"/>
              </w:rPr>
              <w:t>1.0</w:t>
            </w:r>
          </w:p>
        </w:tc>
        <w:tc>
          <w:tcPr>
            <w:tcW w:type="dxa" w:w="1701"/>
          </w:tcPr>
          <w:p>
            <w:r/>
            <w:r>
              <w:rPr>
                <w:rFonts w:ascii="Calibri" w:hAnsi="Calibri"/>
                <w:color w:val="1F2937"/>
                <w:sz w:val="20"/>
              </w:rPr>
              <w:t>29-04-2026</w:t>
            </w:r>
          </w:p>
        </w:tc>
        <w:tc>
          <w:tcPr>
            <w:tcW w:type="dxa" w:w="2268"/>
          </w:tcPr>
          <w:p>
            <w:r/>
            <w:r>
              <w:rPr>
                <w:rFonts w:ascii="Calibri" w:hAnsi="Calibri"/>
                <w:color w:val="1F2937"/>
                <w:sz w:val="20"/>
              </w:rPr>
              <w:t>JvG Consultancy</w:t>
            </w:r>
          </w:p>
        </w:tc>
        <w:tc>
          <w:tcPr>
            <w:tcW w:type="dxa" w:w="4535"/>
          </w:tcPr>
          <w:p>
            <w:r/>
            <w:r>
              <w:rPr>
                <w:rFonts w:ascii="Calibri" w:hAnsi="Calibri"/>
                <w:color w:val="1F2937"/>
                <w:sz w:val="20"/>
              </w:rPr>
              <w:t>Eerste versie — VBS-compliant MoC beleidskader</w:t>
            </w:r>
          </w:p>
        </w:tc>
      </w:tr>
    </w:tbl>
    <w:p>
      <w:pPr>
        <w:pStyle w:val="Heading2"/>
      </w:pPr>
      <w:r>
        <w:t>Distributielijst</w:t>
      </w:r>
    </w:p>
    <w:tbl>
      <w:tblPr>
        <w:tblStyle w:val="TableGrid"/>
        <w:tblW w:type="auto" w:w="0"/>
        <w:jc w:val="center"/>
        <w:tblLook w:firstColumn="1" w:firstRow="1" w:lastColumn="0" w:lastRow="0" w:noHBand="0" w:noVBand="1" w:val="04A0"/>
      </w:tblPr>
      <w:tblGrid>
        <w:gridCol w:w="3135"/>
        <w:gridCol w:w="3135"/>
        <w:gridCol w:w="3135"/>
      </w:tblGrid>
      <w:tr>
        <w:tc>
          <w:tcPr>
            <w:tcW w:type="dxa" w:w="2835"/>
            <w:shd w:fill="003366"/>
          </w:tcPr>
          <w:p>
            <w:r/>
            <w:r>
              <w:rPr>
                <w:rFonts w:ascii="Calibri" w:hAnsi="Calibri"/>
                <w:b/>
                <w:color w:val="FFFFFF"/>
                <w:sz w:val="20"/>
              </w:rPr>
              <w:t>Functie</w:t>
            </w:r>
          </w:p>
        </w:tc>
        <w:tc>
          <w:tcPr>
            <w:tcW w:type="dxa" w:w="2835"/>
            <w:shd w:fill="003366"/>
          </w:tcPr>
          <w:p>
            <w:r/>
            <w:r>
              <w:rPr>
                <w:rFonts w:ascii="Calibri" w:hAnsi="Calibri"/>
                <w:b/>
                <w:color w:val="FFFFFF"/>
                <w:sz w:val="20"/>
              </w:rPr>
              <w:t>Rol</w:t>
            </w:r>
          </w:p>
        </w:tc>
        <w:tc>
          <w:tcPr>
            <w:tcW w:type="dxa" w:w="2835"/>
            <w:shd w:fill="003366"/>
          </w:tcPr>
          <w:p>
            <w:r/>
            <w:r>
              <w:rPr>
                <w:rFonts w:ascii="Calibri" w:hAnsi="Calibri"/>
                <w:b/>
                <w:color w:val="FFFFFF"/>
                <w:sz w:val="20"/>
              </w:rPr>
              <w:t>Medium</w:t>
            </w:r>
          </w:p>
        </w:tc>
      </w:tr>
      <w:tr>
        <w:tc>
          <w:tcPr>
            <w:tcW w:type="dxa" w:w="2835"/>
          </w:tcPr>
          <w:p>
            <w:r/>
            <w:r>
              <w:rPr>
                <w:rFonts w:ascii="Calibri" w:hAnsi="Calibri"/>
                <w:color w:val="1F2937"/>
                <w:sz w:val="20"/>
              </w:rPr>
              <w:t>Directie Phoenix Metals</w:t>
            </w:r>
          </w:p>
        </w:tc>
        <w:tc>
          <w:tcPr>
            <w:tcW w:type="dxa" w:w="2835"/>
          </w:tcPr>
          <w:p>
            <w:r/>
            <w:r>
              <w:rPr>
                <w:rFonts w:ascii="Calibri" w:hAnsi="Calibri"/>
                <w:color w:val="1F2937"/>
                <w:sz w:val="20"/>
              </w:rPr>
              <w:t>Goedkeuring</w:t>
            </w:r>
          </w:p>
        </w:tc>
        <w:tc>
          <w:tcPr>
            <w:tcW w:type="dxa" w:w="2835"/>
          </w:tcPr>
          <w:p>
            <w:r/>
            <w:r>
              <w:rPr>
                <w:rFonts w:ascii="Calibri" w:hAnsi="Calibri"/>
                <w:color w:val="1F2937"/>
                <w:sz w:val="20"/>
              </w:rPr>
              <w:t>Digitaal (PDF)</w:t>
            </w:r>
          </w:p>
        </w:tc>
      </w:tr>
      <w:tr>
        <w:tc>
          <w:tcPr>
            <w:tcW w:type="dxa" w:w="2835"/>
            <w:shd w:fill="F0F4F8"/>
          </w:tcPr>
          <w:p>
            <w:r/>
            <w:r>
              <w:rPr>
                <w:rFonts w:ascii="Calibri" w:hAnsi="Calibri"/>
                <w:color w:val="1F2937"/>
                <w:sz w:val="20"/>
              </w:rPr>
              <w:t>HSE Manager</w:t>
            </w:r>
          </w:p>
        </w:tc>
        <w:tc>
          <w:tcPr>
            <w:tcW w:type="dxa" w:w="2835"/>
            <w:shd w:fill="F0F4F8"/>
          </w:tcPr>
          <w:p>
            <w:r/>
            <w:r>
              <w:rPr>
                <w:rFonts w:ascii="Calibri" w:hAnsi="Calibri"/>
                <w:color w:val="1F2937"/>
                <w:sz w:val="20"/>
              </w:rPr>
              <w:t>Implementatie</w:t>
            </w:r>
          </w:p>
        </w:tc>
        <w:tc>
          <w:tcPr>
            <w:tcW w:type="dxa" w:w="2835"/>
            <w:shd w:fill="F0F4F8"/>
          </w:tcPr>
          <w:p>
            <w:r/>
            <w:r>
              <w:rPr>
                <w:rFonts w:ascii="Calibri" w:hAnsi="Calibri"/>
                <w:color w:val="1F2937"/>
                <w:sz w:val="20"/>
              </w:rPr>
              <w:t>Digitaal (PDF)</w:t>
            </w:r>
          </w:p>
        </w:tc>
      </w:tr>
      <w:tr>
        <w:tc>
          <w:tcPr>
            <w:tcW w:type="dxa" w:w="2835"/>
          </w:tcPr>
          <w:p>
            <w:r/>
            <w:r>
              <w:rPr>
                <w:rFonts w:ascii="Calibri" w:hAnsi="Calibri"/>
                <w:color w:val="1F2937"/>
                <w:sz w:val="20"/>
              </w:rPr>
              <w:t>Operations Manager</w:t>
            </w:r>
          </w:p>
        </w:tc>
        <w:tc>
          <w:tcPr>
            <w:tcW w:type="dxa" w:w="2835"/>
          </w:tcPr>
          <w:p>
            <w:r/>
            <w:r>
              <w:rPr>
                <w:rFonts w:ascii="Calibri" w:hAnsi="Calibri"/>
                <w:color w:val="1F2937"/>
                <w:sz w:val="20"/>
              </w:rPr>
              <w:t>Implementatie</w:t>
            </w:r>
          </w:p>
        </w:tc>
        <w:tc>
          <w:tcPr>
            <w:tcW w:type="dxa" w:w="2835"/>
          </w:tcPr>
          <w:p>
            <w:r/>
            <w:r>
              <w:rPr>
                <w:rFonts w:ascii="Calibri" w:hAnsi="Calibri"/>
                <w:color w:val="1F2937"/>
                <w:sz w:val="20"/>
              </w:rPr>
              <w:t>Digitaal (PDF)</w:t>
            </w:r>
          </w:p>
        </w:tc>
      </w:tr>
      <w:tr>
        <w:tc>
          <w:tcPr>
            <w:tcW w:type="dxa" w:w="2835"/>
            <w:shd w:fill="F0F4F8"/>
          </w:tcPr>
          <w:p>
            <w:r/>
            <w:r>
              <w:rPr>
                <w:rFonts w:ascii="Calibri" w:hAnsi="Calibri"/>
                <w:color w:val="1F2937"/>
                <w:sz w:val="20"/>
              </w:rPr>
              <w:t>Maintenance Manager</w:t>
            </w:r>
          </w:p>
        </w:tc>
        <w:tc>
          <w:tcPr>
            <w:tcW w:type="dxa" w:w="2835"/>
            <w:shd w:fill="F0F4F8"/>
          </w:tcPr>
          <w:p>
            <w:r/>
            <w:r>
              <w:rPr>
                <w:rFonts w:ascii="Calibri" w:hAnsi="Calibri"/>
                <w:color w:val="1F2937"/>
                <w:sz w:val="20"/>
              </w:rPr>
              <w:t>Implementatie</w:t>
            </w:r>
          </w:p>
        </w:tc>
        <w:tc>
          <w:tcPr>
            <w:tcW w:type="dxa" w:w="2835"/>
            <w:shd w:fill="F0F4F8"/>
          </w:tcPr>
          <w:p>
            <w:r/>
            <w:r>
              <w:rPr>
                <w:rFonts w:ascii="Calibri" w:hAnsi="Calibri"/>
                <w:color w:val="1F2937"/>
                <w:sz w:val="20"/>
              </w:rPr>
              <w:t>Digitaal (PDF)</w:t>
            </w:r>
          </w:p>
        </w:tc>
      </w:tr>
      <w:tr>
        <w:tc>
          <w:tcPr>
            <w:tcW w:type="dxa" w:w="2835"/>
          </w:tcPr>
          <w:p>
            <w:r/>
            <w:r>
              <w:rPr>
                <w:rFonts w:ascii="Calibri" w:hAnsi="Calibri"/>
                <w:color w:val="1F2937"/>
                <w:sz w:val="20"/>
              </w:rPr>
              <w:t>MoC-coördinator</w:t>
            </w:r>
          </w:p>
        </w:tc>
        <w:tc>
          <w:tcPr>
            <w:tcW w:type="dxa" w:w="2835"/>
          </w:tcPr>
          <w:p>
            <w:r/>
            <w:r>
              <w:rPr>
                <w:rFonts w:ascii="Calibri" w:hAnsi="Calibri"/>
                <w:color w:val="1F2937"/>
                <w:sz w:val="20"/>
              </w:rPr>
              <w:t>Uitvoering</w:t>
            </w:r>
          </w:p>
        </w:tc>
        <w:tc>
          <w:tcPr>
            <w:tcW w:type="dxa" w:w="2835"/>
          </w:tcPr>
          <w:p>
            <w:r/>
            <w:r>
              <w:rPr>
                <w:rFonts w:ascii="Calibri" w:hAnsi="Calibri"/>
                <w:color w:val="1F2937"/>
                <w:sz w:val="20"/>
              </w:rPr>
              <w:t>Digitaal (PDF)</w:t>
            </w:r>
          </w:p>
        </w:tc>
      </w:tr>
    </w:tbl>
    <w:p>
      <w:r>
        <w:br w:type="page"/>
      </w:r>
    </w:p>
    <w:p>
      <w:pPr>
        <w:pStyle w:val="Heading1"/>
      </w:pPr>
      <w:r>
        <w:t>Inhoudsopgave</w:t>
      </w:r>
    </w:p>
    <w:p>
      <w:r>
        <w:rPr>
          <w:rFonts w:ascii="Calibri" w:hAnsi="Calibri"/>
          <w:b/>
          <w:sz w:val="22"/>
        </w:rPr>
        <w:t>1. Inleiding &amp; Doel</w:t>
      </w:r>
    </w:p>
    <w:p>
      <w:r>
        <w:rPr>
          <w:rFonts w:ascii="Calibri" w:hAnsi="Calibri"/>
          <w:b/>
          <w:sz w:val="22"/>
        </w:rPr>
        <w:t>2. Wettelijk &amp; Normatief Kader</w:t>
      </w:r>
    </w:p>
    <w:p>
      <w:r>
        <w:rPr>
          <w:rFonts w:ascii="Calibri" w:hAnsi="Calibri"/>
          <w:b/>
          <w:sz w:val="22"/>
        </w:rPr>
        <w:t>3. Definities &amp; Begrippenkader</w:t>
      </w:r>
    </w:p>
    <w:p>
      <w:r>
        <w:rPr>
          <w:rFonts w:ascii="Calibri" w:hAnsi="Calibri"/>
          <w:b/>
          <w:sz w:val="22"/>
        </w:rPr>
        <w:t>4. Beleidsuitgangspunten</w:t>
      </w:r>
    </w:p>
    <w:p>
      <w:r>
        <w:rPr>
          <w:rFonts w:ascii="Calibri" w:hAnsi="Calibri"/>
          <w:b/>
          <w:sz w:val="22"/>
        </w:rPr>
        <w:t>5. Scope &amp; Toepassingsgebied</w:t>
      </w:r>
    </w:p>
    <w:p>
      <w:r>
        <w:rPr>
          <w:rFonts w:ascii="Calibri" w:hAnsi="Calibri"/>
          <w:b/>
          <w:sz w:val="22"/>
        </w:rPr>
        <w:t>6. Relatie met andere VBS Elementen</w:t>
      </w:r>
    </w:p>
    <w:p>
      <w:r>
        <w:rPr>
          <w:rFonts w:ascii="Calibri" w:hAnsi="Calibri"/>
          <w:b/>
          <w:sz w:val="22"/>
        </w:rPr>
        <w:t>7. Beleidsverantwoordelijkheden</w:t>
      </w:r>
    </w:p>
    <w:p>
      <w:r>
        <w:rPr>
          <w:rFonts w:ascii="Calibri" w:hAnsi="Calibri"/>
          <w:sz w:val="22"/>
        </w:rPr>
        <w:t>Bronnenlijst</w:t>
      </w:r>
    </w:p>
    <w:p>
      <w:r>
        <w:rPr>
          <w:rFonts w:ascii="Calibri" w:hAnsi="Calibri"/>
          <w:sz w:val="22"/>
        </w:rPr>
        <w:t>TierVerify Log</w:t>
      </w:r>
    </w:p>
    <w:p>
      <w:r>
        <w:br w:type="page"/>
      </w:r>
    </w:p>
    <w:p>
      <w:pPr>
        <w:pStyle w:val="Heading1"/>
      </w:pPr>
      <w:r>
        <w:t>1. Inleiding &amp; Doel</w:t>
      </w:r>
    </w:p>
    <w:p>
      <w:pPr>
        <w:pStyle w:val="Heading2"/>
      </w:pPr>
      <w:r>
        <w:t>1.1 Achtergrond</w:t>
      </w:r>
    </w:p>
    <w:p>
      <w:pPr>
        <w:spacing w:after="120"/>
      </w:pPr>
      <w:r>
        <w:rPr>
          <w:rFonts w:ascii="Calibri" w:hAnsi="Calibri"/>
          <w:b w:val="0"/>
          <w:color w:val="1F2937"/>
          <w:sz w:val="22"/>
        </w:rPr>
        <w:t>Phoenix Metals exploiteert een BRZO-inrichting waarin gevaarlijke stoffen worden verwerkt en opgeslagen. Elke wijziging aan installaties, processen, procedures of organisatiestructuren kan het risicoprofiel van de inrichting beïnvloeden. Onvoldoende beheerste wijzigingen zijn historisch een van de belangrijkste oorzaken van zware industriële ongevallen [1].</w:t>
      </w:r>
    </w:p>
    <w:p>
      <w:pPr>
        <w:pStyle w:val="Heading2"/>
      </w:pPr>
      <w:r>
        <w:t>1.2 Wettelijke aanleiding</w:t>
      </w:r>
    </w:p>
    <w:p>
      <w:pPr>
        <w:spacing w:after="120"/>
      </w:pPr>
      <w:r>
        <w:rPr>
          <w:rFonts w:ascii="Calibri" w:hAnsi="Calibri"/>
          <w:b w:val="0"/>
          <w:color w:val="1F2937"/>
          <w:sz w:val="22"/>
        </w:rPr>
        <w:t>De Seveso III Richtlijn 2012/18/EU verlangt in artikel 12 dat lidstaten ervoor zorgen dat exploitanten beleid en procedures hanteren voor het systematisch beheersen van wijzigingen [2]. Het BRZO 1999 (Besluit risico's zware ongevallen) implementeert deze eis in artikel 5, eerste lid, onderdeel d: exploitanten moeten aantonen op welke wijze zij handelen bij wijzigingen die gevolgen kunnen hebben voor de preventie van zware ongevallen [3].</w:t>
      </w:r>
    </w:p>
    <w:p>
      <w:pPr>
        <w:pStyle w:val="Heading2"/>
      </w:pPr>
      <w:r>
        <w:t>1.3 Relatie tot VBS Elementen</w:t>
      </w:r>
    </w:p>
    <w:p>
      <w:pPr>
        <w:spacing w:after="120"/>
      </w:pPr>
      <w:r>
        <w:rPr>
          <w:rFonts w:ascii="Calibri" w:hAnsi="Calibri"/>
          <w:b w:val="0"/>
          <w:color w:val="1F2937"/>
          <w:sz w:val="22"/>
        </w:rPr>
        <w:t>Het VeiligheidsBeheerSysteem (VBS) van Phoenix Metals omvat twaalf elementen. Dit document behoort tot Element IV: "Wijze waarop gehandeld wordt bij wijzigingen" en is hiërarchisch gekoppeld aan:</w:t>
      </w:r>
    </w:p>
    <w:p>
      <w:pPr>
        <w:pStyle w:val="ListBullet"/>
      </w:pPr>
      <w:r>
        <w:rPr>
          <w:rFonts w:ascii="Calibri" w:hAnsi="Calibri"/>
          <w:sz w:val="22"/>
        </w:rPr>
        <w:t>Element I (PBZO Beleid) — Bovenliggend kader en directiecommitment</w:t>
      </w:r>
    </w:p>
    <w:p>
      <w:pPr>
        <w:pStyle w:val="ListBullet"/>
      </w:pPr>
      <w:r>
        <w:rPr>
          <w:rFonts w:ascii="Calibri" w:hAnsi="Calibri"/>
          <w:sz w:val="22"/>
        </w:rPr>
        <w:t>Element II (Gevaaridentificatie &amp; Risico-evaluatie) — Risicobeoordelingsmethodiek voor wijzigingen</w:t>
      </w:r>
    </w:p>
    <w:p>
      <w:pPr>
        <w:pStyle w:val="ListBullet"/>
      </w:pPr>
      <w:r>
        <w:rPr>
          <w:rFonts w:ascii="Calibri" w:hAnsi="Calibri"/>
          <w:sz w:val="22"/>
        </w:rPr>
        <w:t>Element III (Operationele controle) — Uitvoeringsprocedures (CoW, PSSR, onderhoud)</w:t>
      </w:r>
    </w:p>
    <w:p>
      <w:pPr>
        <w:pStyle w:val="ListBullet"/>
      </w:pPr>
      <w:r>
        <w:rPr>
          <w:rFonts w:ascii="Calibri" w:hAnsi="Calibri"/>
          <w:sz w:val="22"/>
        </w:rPr>
        <w:t>Element IV (Noodplanning) — Evaluatie van wijzigingen aan noodvoorzieningen</w:t>
      </w:r>
    </w:p>
    <w:p>
      <w:pPr>
        <w:pStyle w:val="Heading2"/>
      </w:pPr>
      <w:r>
        <w:t>1.4 Doelstelling</w:t>
      </w:r>
    </w:p>
    <w:p>
      <w:pPr>
        <w:spacing w:after="120"/>
      </w:pPr>
      <w:r>
        <w:rPr>
          <w:rFonts w:ascii="Calibri" w:hAnsi="Calibri"/>
          <w:b w:val="0"/>
          <w:color w:val="1F2937"/>
          <w:sz w:val="22"/>
        </w:rPr>
        <w:t>De doelstelling van dit beleidsdocument is het waarborgen dat het bestaande risiconiveau van de Phoenix Metals inrichting niet verslechtert als gevolg van wijzigingen. Concreet betekent dit:</w:t>
      </w:r>
    </w:p>
    <w:p>
      <w:pPr>
        <w:pStyle w:val="ListBullet"/>
      </w:pPr>
      <w:r>
        <w:rPr>
          <w:rFonts w:ascii="Calibri" w:hAnsi="Calibri"/>
          <w:sz w:val="22"/>
        </w:rPr>
        <w:t>Elke voorgenomen wijziging wordt vooraf systematisch beoordeeld op veiligheids-, gezondheids- en milieuaspecten.</w:t>
      </w:r>
    </w:p>
    <w:p>
      <w:pPr>
        <w:pStyle w:val="ListBullet"/>
      </w:pPr>
      <w:r>
        <w:rPr>
          <w:rFonts w:ascii="Calibri" w:hAnsi="Calibri"/>
          <w:sz w:val="22"/>
        </w:rPr>
        <w:t>De risicobeoordeling wordt uitgevoerd door een multidisciplinair team met voldoende expertise.</w:t>
      </w:r>
    </w:p>
    <w:p>
      <w:pPr>
        <w:pStyle w:val="ListBullet"/>
      </w:pPr>
      <w:r>
        <w:rPr>
          <w:rFonts w:ascii="Calibri" w:hAnsi="Calibri"/>
          <w:sz w:val="22"/>
        </w:rPr>
        <w:t>Wijzigingen worden pas geïmplementeerd na formele goedkeuring en documentatie.</w:t>
      </w:r>
    </w:p>
    <w:p>
      <w:pPr>
        <w:pStyle w:val="ListBullet"/>
      </w:pPr>
      <w:r>
        <w:rPr>
          <w:rFonts w:ascii="Calibri" w:hAnsi="Calibri"/>
          <w:sz w:val="22"/>
        </w:rPr>
        <w:t>Na implementatie vindt evaluatie plaats om te bevestigen dat de wijziging het beoogde effect heeft zonder onbedoelde neveneffecten.</w:t>
      </w:r>
    </w:p>
    <w:p>
      <w:r>
        <w:br w:type="page"/>
      </w:r>
    </w:p>
    <w:p>
      <w:pPr>
        <w:pStyle w:val="Heading1"/>
      </w:pPr>
      <w:r>
        <w:t>2. Wettelijk &amp; Normatief Kader</w:t>
      </w:r>
    </w:p>
    <w:p>
      <w:pPr>
        <w:pStyle w:val="Heading2"/>
      </w:pPr>
      <w:r>
        <w:t>2.1 Seveso III Richtlijn 2012/18/EU</w:t>
      </w:r>
    </w:p>
    <w:p>
      <w:pPr>
        <w:spacing w:after="120"/>
      </w:pPr>
      <w:r>
        <w:rPr>
          <w:rFonts w:ascii="Calibri" w:hAnsi="Calibri"/>
          <w:b w:val="0"/>
          <w:color w:val="1F2937"/>
          <w:sz w:val="22"/>
        </w:rPr>
        <w:t>De Seveso III Richtlijn (Richtlijn 2012/18/EU van het Europees Parlement en de Raad) vormt het primaire Europese kader voor de preventie van zware ongevallen waarbij gevaarlijke stoffen betrokken zijn [2]. Artikel 12 vereist dat exploitanten van Seveso-inrichtingen een systeem voor management van wijzigingen (Management of Change, MoC) implementeren. De richtlijn benadrukt dat wijzigingen aan installaties, processen of organisatiestructuren alleen mogen worden doorgevoerd na een grondige beoordeling van de potentiële impact op de veiligheid.</w:t>
      </w:r>
    </w:p>
    <w:p>
      <w:pPr>
        <w:pStyle w:val="Heading2"/>
      </w:pPr>
      <w:r>
        <w:t>2.2 BRZO 1999</w:t>
      </w:r>
    </w:p>
    <w:p>
      <w:pPr>
        <w:spacing w:after="120"/>
      </w:pPr>
      <w:r>
        <w:rPr>
          <w:rFonts w:ascii="Calibri" w:hAnsi="Calibri"/>
          <w:b w:val="0"/>
          <w:color w:val="1F2937"/>
          <w:sz w:val="22"/>
        </w:rPr>
        <w:t>Het Besluit risico's zware ongevallen (BRZO 1999, Stb. 1999, 369) is de Nederlandse implementatie van de Seveso III Richtlijn [3]. Artikel 5, eerste lid, onderdeel d, vereist dat de exploitant aantoont op welke wijze gehandeld wordt bij wijzigingen die van invloed kunnen zijn op de bestrijding van de gevaren van zware ongevallen. Het BRZO 1999 verplicht tot een systematische aanpak waarbij wijzigingen worden geïdentificeerd, beoordeeld, goedgekeurd en gedocumenteerd.</w:t>
      </w:r>
    </w:p>
    <w:p>
      <w:pPr>
        <w:pStyle w:val="Heading2"/>
      </w:pPr>
      <w:r>
        <w:t>2.3 VBS Element IV Eisen</w:t>
      </w:r>
    </w:p>
    <w:p>
      <w:pPr>
        <w:spacing w:after="120"/>
      </w:pPr>
      <w:r>
        <w:rPr>
          <w:rFonts w:ascii="Calibri" w:hAnsi="Calibri"/>
          <w:b w:val="0"/>
          <w:color w:val="1F2937"/>
          <w:sz w:val="22"/>
        </w:rPr>
        <w:t>Het VeiligheidsBeheerSysteem (VBS) stelt specifieke eisen aan Element IV [4]:</w:t>
      </w:r>
    </w:p>
    <w:p>
      <w:pPr>
        <w:pStyle w:val="ListBullet"/>
      </w:pPr>
      <w:r>
        <w:rPr>
          <w:sz w:val="22"/>
        </w:rPr>
        <w:t>Procedures voor identificatie van wijzigingen die gevolgen kunnen hebben voor de veiligheid.</w:t>
      </w:r>
    </w:p>
    <w:p>
      <w:pPr>
        <w:pStyle w:val="ListBullet"/>
      </w:pPr>
      <w:r>
        <w:rPr>
          <w:sz w:val="22"/>
        </w:rPr>
        <w:t>Beoordeling van wijzigingen op basis van risicoanalyse, inclusief bepaling van benodigde aanvullende veiligheidsmaatregelen.</w:t>
      </w:r>
    </w:p>
    <w:p>
      <w:pPr>
        <w:pStyle w:val="ListBullet"/>
      </w:pPr>
      <w:r>
        <w:rPr>
          <w:sz w:val="22"/>
        </w:rPr>
        <w:t>Formele goedkeuring door bevoegde functionarissen vóór implementatie.</w:t>
      </w:r>
    </w:p>
    <w:p>
      <w:pPr>
        <w:pStyle w:val="ListBullet"/>
      </w:pPr>
      <w:r>
        <w:rPr>
          <w:sz w:val="22"/>
        </w:rPr>
        <w:t>Documentatie en traceerbaarheid van alle wijzigingen.</w:t>
      </w:r>
    </w:p>
    <w:p>
      <w:pPr>
        <w:pStyle w:val="ListBullet"/>
      </w:pPr>
      <w:r>
        <w:rPr>
          <w:sz w:val="22"/>
        </w:rPr>
        <w:t>Evaluatie na implementatie om de effectiviteit te bevestigen.</w:t>
      </w:r>
    </w:p>
    <w:p>
      <w:pPr>
        <w:pStyle w:val="Heading2"/>
      </w:pPr>
      <w:r>
        <w:t>2.4 ISO 45001:2018 — Change Management</w:t>
      </w:r>
    </w:p>
    <w:p>
      <w:pPr>
        <w:spacing w:after="120"/>
      </w:pPr>
      <w:r>
        <w:rPr>
          <w:rFonts w:ascii="Calibri" w:hAnsi="Calibri"/>
          <w:b w:val="0"/>
          <w:color w:val="1F2937"/>
          <w:sz w:val="22"/>
        </w:rPr>
        <w:t>ISO 45001:2018 artikel 8.1.3 vereist dat organisaties processen implementeren voor management van tijdelijke en permanente wijzigingen die van invloed zijn op het OHS-managementsysteem [5]. De norm vereist dat organisaties de gevolgen van onbedoelde wijzigingen beoordelen en mitigeren, en dat wijzigingen worden meegedeeld aan en begrepen door werknemers.</w:t>
      </w:r>
    </w:p>
    <w:p>
      <w:pPr>
        <w:pStyle w:val="Heading2"/>
      </w:pPr>
      <w:r>
        <w:t>2.5 ISO 14001:2015 — Operationele planning en controle</w:t>
      </w:r>
    </w:p>
    <w:p>
      <w:pPr>
        <w:spacing w:after="120"/>
      </w:pPr>
      <w:r>
        <w:rPr>
          <w:rFonts w:ascii="Calibri" w:hAnsi="Calibri"/>
          <w:b w:val="0"/>
          <w:color w:val="1F2937"/>
          <w:sz w:val="22"/>
        </w:rPr>
        <w:t>ISO 14001:2015 artikel 8.1 vereist dat organisaties processen voor management van wijzigingen implementeren binnen hun milieumanagementsysteem [6]. Dit omvat de beoordeling van milieu-aspecten bij voorgenomen wijzigingen en het treffen van maatregelen om ongewenste milieueffecten te voorkomen.</w:t>
      </w:r>
    </w:p>
    <w:p>
      <w:pPr>
        <w:pStyle w:val="Heading2"/>
      </w:pPr>
      <w:r>
        <w:t>2.6 COMAH Regulations (UK referentie)</w:t>
      </w:r>
    </w:p>
    <w:p>
      <w:pPr>
        <w:spacing w:after="120"/>
      </w:pPr>
      <w:r>
        <w:rPr>
          <w:rFonts w:ascii="Calibri" w:hAnsi="Calibri"/>
          <w:b w:val="0"/>
          <w:color w:val="1F2937"/>
          <w:sz w:val="22"/>
        </w:rPr>
        <w:t>De Control of Major Accident Hazards Regulations 2015 (COMAH) van het Verenigd Koninkrijk bieden een waardevolle referentie voor MoC-best-practices [7]. COMAH Regulation 5 vereist dat exploitanten maatregelen nemen om de gevolgen van wijzigingen aan installaties, processen of procedures op de preventie van zware ongevallen te beheersen. De COMAH-guidance benadrukt het belang van een formele MoC-procedure met duidelijke goedkeuringsmechanismen.</w:t>
      </w:r>
    </w:p>
    <w:p>
      <w:pPr>
        <w:pStyle w:val="Heading2"/>
      </w:pPr>
      <w:r>
        <w:t>2.7 CCPS Guidelines for Management of Change</w:t>
      </w:r>
    </w:p>
    <w:p>
      <w:pPr>
        <w:spacing w:after="120"/>
      </w:pPr>
      <w:r>
        <w:rPr>
          <w:rFonts w:ascii="Calibri" w:hAnsi="Calibri"/>
          <w:b w:val="0"/>
          <w:color w:val="1F2937"/>
          <w:sz w:val="22"/>
        </w:rPr>
        <w:t>De Center for Chemical Process Safety (CCPS) publiceerde richtlijnen voor Management of Change die internationaal erkend worden als best-practice [8]. De CCPS-benadering onderscheidt vervanging-in-soortgelijk (Replacement in Kind) van MoC-waardige wijzigingen en biedt een gestructureerd raamwerk voor beoordeling, goedkeuring en implementatie van wijzigingen.</w:t>
      </w:r>
    </w:p>
    <w:p>
      <w:r>
        <w:br w:type="page"/>
      </w:r>
    </w:p>
    <w:p>
      <w:pPr>
        <w:pStyle w:val="Heading1"/>
      </w:pPr>
      <w:r>
        <w:t>3. Definities &amp; Begrippenkader</w:t>
      </w:r>
    </w:p>
    <w:p>
      <w:pPr>
        <w:pStyle w:val="Heading2"/>
      </w:pPr>
      <w:r>
        <w:t>3.1 Management of Change (MoC)</w:t>
      </w:r>
    </w:p>
    <w:p>
      <w:pPr>
        <w:spacing w:after="120"/>
      </w:pPr>
      <w:r>
        <w:rPr>
          <w:rFonts w:ascii="Calibri" w:hAnsi="Calibri"/>
          <w:b w:val="0"/>
          <w:color w:val="1F2937"/>
          <w:sz w:val="22"/>
        </w:rPr>
        <w:t>Management of Change (MoC) is een systematisch proces voor het beoordelen, goedkeuren, implementeren en evalueren van wijzigingen die van invloed kunnen zijn op de veiligheid, gezondheid, het milieu of de betrouwbaarheid van processen en installaties [8]. Het MoC-proces waarborgt dat wijzigingen niet leiden tot een onacceptabele toename van het risiconiveau.</w:t>
      </w:r>
    </w:p>
    <w:p>
      <w:pPr>
        <w:pStyle w:val="Heading2"/>
      </w:pPr>
      <w:r>
        <w:t>3.2 Wijzigingstypen</w:t>
      </w:r>
    </w:p>
    <w:p>
      <w:pPr>
        <w:spacing w:after="120"/>
      </w:pPr>
      <w:r>
        <w:rPr>
          <w:rFonts w:ascii="Calibri" w:hAnsi="Calibri"/>
          <w:b w:val="0"/>
          <w:color w:val="1F2937"/>
          <w:sz w:val="22"/>
        </w:rPr>
        <w:t>Binnen het MoC-systeem van Phoenix Metals worden de volgende negen categorieën van wijzigingen onderscheiden:</w:t>
      </w:r>
    </w:p>
    <w:tbl>
      <w:tblPr>
        <w:tblStyle w:val="TableGrid"/>
        <w:tblW w:type="auto" w:w="0"/>
        <w:jc w:val="center"/>
        <w:tblLook w:firstColumn="1" w:firstRow="1" w:lastColumn="0" w:lastRow="0" w:noHBand="0" w:noVBand="1" w:val="04A0"/>
      </w:tblPr>
      <w:tblGrid>
        <w:gridCol w:w="3135"/>
        <w:gridCol w:w="3135"/>
        <w:gridCol w:w="3135"/>
      </w:tblGrid>
      <w:tr>
        <w:tc>
          <w:tcPr>
            <w:tcW w:type="dxa" w:w="680"/>
            <w:shd w:fill="003366"/>
          </w:tcPr>
          <w:p>
            <w:r/>
            <w:r>
              <w:rPr>
                <w:rFonts w:ascii="Calibri" w:hAnsi="Calibri"/>
                <w:b/>
                <w:color w:val="FFFFFF"/>
                <w:sz w:val="20"/>
              </w:rPr>
              <w:t>Nr.</w:t>
            </w:r>
          </w:p>
        </w:tc>
        <w:tc>
          <w:tcPr>
            <w:tcW w:type="dxa" w:w="2268"/>
            <w:shd w:fill="003366"/>
          </w:tcPr>
          <w:p>
            <w:r/>
            <w:r>
              <w:rPr>
                <w:rFonts w:ascii="Calibri" w:hAnsi="Calibri"/>
                <w:b/>
                <w:color w:val="FFFFFF"/>
                <w:sz w:val="20"/>
              </w:rPr>
              <w:t>Categorie</w:t>
            </w:r>
          </w:p>
        </w:tc>
        <w:tc>
          <w:tcPr>
            <w:tcW w:type="dxa" w:w="6803"/>
            <w:shd w:fill="003366"/>
          </w:tcPr>
          <w:p>
            <w:r/>
            <w:r>
              <w:rPr>
                <w:rFonts w:ascii="Calibri" w:hAnsi="Calibri"/>
                <w:b/>
                <w:color w:val="FFFFFF"/>
                <w:sz w:val="20"/>
              </w:rPr>
              <w:t>Omschrijving</w:t>
            </w:r>
          </w:p>
        </w:tc>
      </w:tr>
      <w:tr>
        <w:tc>
          <w:tcPr>
            <w:tcW w:type="dxa" w:w="680"/>
          </w:tcPr>
          <w:p>
            <w:r/>
            <w:r>
              <w:rPr>
                <w:rFonts w:ascii="Calibri" w:hAnsi="Calibri"/>
                <w:color w:val="1F2937"/>
                <w:sz w:val="20"/>
              </w:rPr>
              <w:t>1</w:t>
            </w:r>
          </w:p>
        </w:tc>
        <w:tc>
          <w:tcPr>
            <w:tcW w:type="dxa" w:w="2268"/>
          </w:tcPr>
          <w:p>
            <w:r/>
            <w:r>
              <w:rPr>
                <w:rFonts w:ascii="Calibri" w:hAnsi="Calibri"/>
                <w:color w:val="1F2937"/>
                <w:sz w:val="20"/>
              </w:rPr>
              <w:t>Organisatorisch</w:t>
            </w:r>
          </w:p>
        </w:tc>
        <w:tc>
          <w:tcPr>
            <w:tcW w:type="dxa" w:w="6803"/>
          </w:tcPr>
          <w:p>
            <w:r/>
            <w:r>
              <w:rPr>
                <w:rFonts w:ascii="Calibri" w:hAnsi="Calibri"/>
                <w:color w:val="1F2937"/>
                <w:sz w:val="20"/>
              </w:rPr>
              <w:t>Wijzigingen in organisatiestructuur, rollen, verantwoordelijkheden, bezetting of toeleveranciers</w:t>
            </w:r>
          </w:p>
        </w:tc>
      </w:tr>
      <w:tr>
        <w:tc>
          <w:tcPr>
            <w:tcW w:type="dxa" w:w="680"/>
            <w:shd w:fill="F0F4F8"/>
          </w:tcPr>
          <w:p>
            <w:r/>
            <w:r>
              <w:rPr>
                <w:rFonts w:ascii="Calibri" w:hAnsi="Calibri"/>
                <w:color w:val="1F2937"/>
                <w:sz w:val="20"/>
              </w:rPr>
              <w:t>2</w:t>
            </w:r>
          </w:p>
        </w:tc>
        <w:tc>
          <w:tcPr>
            <w:tcW w:type="dxa" w:w="2268"/>
            <w:shd w:fill="F0F4F8"/>
          </w:tcPr>
          <w:p>
            <w:r/>
            <w:r>
              <w:rPr>
                <w:rFonts w:ascii="Calibri" w:hAnsi="Calibri"/>
                <w:color w:val="1F2937"/>
                <w:sz w:val="20"/>
              </w:rPr>
              <w:t>Technisch / Installaties</w:t>
            </w:r>
          </w:p>
        </w:tc>
        <w:tc>
          <w:tcPr>
            <w:tcW w:type="dxa" w:w="6803"/>
            <w:shd w:fill="F0F4F8"/>
          </w:tcPr>
          <w:p>
            <w:r/>
            <w:r>
              <w:rPr>
                <w:rFonts w:ascii="Calibri" w:hAnsi="Calibri"/>
                <w:color w:val="1F2937"/>
                <w:sz w:val="20"/>
              </w:rPr>
              <w:t>Wijzigingen aan apparatuur, leidingen, instrumentatie, constructies of infrastructurele voorzieningen</w:t>
            </w:r>
          </w:p>
        </w:tc>
      </w:tr>
      <w:tr>
        <w:tc>
          <w:tcPr>
            <w:tcW w:type="dxa" w:w="680"/>
          </w:tcPr>
          <w:p>
            <w:r/>
            <w:r>
              <w:rPr>
                <w:rFonts w:ascii="Calibri" w:hAnsi="Calibri"/>
                <w:color w:val="1F2937"/>
                <w:sz w:val="20"/>
              </w:rPr>
              <w:t>3</w:t>
            </w:r>
          </w:p>
        </w:tc>
        <w:tc>
          <w:tcPr>
            <w:tcW w:type="dxa" w:w="2268"/>
          </w:tcPr>
          <w:p>
            <w:r/>
            <w:r>
              <w:rPr>
                <w:rFonts w:ascii="Calibri" w:hAnsi="Calibri"/>
                <w:color w:val="1F2937"/>
                <w:sz w:val="20"/>
              </w:rPr>
              <w:t>Proces</w:t>
            </w:r>
          </w:p>
        </w:tc>
        <w:tc>
          <w:tcPr>
            <w:tcW w:type="dxa" w:w="6803"/>
          </w:tcPr>
          <w:p>
            <w:r/>
            <w:r>
              <w:rPr>
                <w:rFonts w:ascii="Calibri" w:hAnsi="Calibri"/>
                <w:color w:val="1F2937"/>
                <w:sz w:val="20"/>
              </w:rPr>
              <w:t>Wijzigingen aan processtappen, werkwijzen, bewerkingen of operationele sequenties</w:t>
            </w:r>
          </w:p>
        </w:tc>
      </w:tr>
      <w:tr>
        <w:tc>
          <w:tcPr>
            <w:tcW w:type="dxa" w:w="680"/>
            <w:shd w:fill="F0F4F8"/>
          </w:tcPr>
          <w:p>
            <w:r/>
            <w:r>
              <w:rPr>
                <w:rFonts w:ascii="Calibri" w:hAnsi="Calibri"/>
                <w:color w:val="1F2937"/>
                <w:sz w:val="20"/>
              </w:rPr>
              <w:t>4</w:t>
            </w:r>
          </w:p>
        </w:tc>
        <w:tc>
          <w:tcPr>
            <w:tcW w:type="dxa" w:w="2268"/>
            <w:shd w:fill="F0F4F8"/>
          </w:tcPr>
          <w:p>
            <w:r/>
            <w:r>
              <w:rPr>
                <w:rFonts w:ascii="Calibri" w:hAnsi="Calibri"/>
                <w:color w:val="1F2937"/>
                <w:sz w:val="20"/>
              </w:rPr>
              <w:t>Procescondities</w:t>
            </w:r>
          </w:p>
        </w:tc>
        <w:tc>
          <w:tcPr>
            <w:tcW w:type="dxa" w:w="6803"/>
            <w:shd w:fill="F0F4F8"/>
          </w:tcPr>
          <w:p>
            <w:r/>
            <w:r>
              <w:rPr>
                <w:rFonts w:ascii="Calibri" w:hAnsi="Calibri"/>
                <w:color w:val="1F2937"/>
                <w:sz w:val="20"/>
              </w:rPr>
              <w:t>Wijzigingen aan temperatuur, druk, debiet, concentratie of andere kritische procesparameters</w:t>
            </w:r>
          </w:p>
        </w:tc>
      </w:tr>
      <w:tr>
        <w:tc>
          <w:tcPr>
            <w:tcW w:type="dxa" w:w="680"/>
          </w:tcPr>
          <w:p>
            <w:r/>
            <w:r>
              <w:rPr>
                <w:rFonts w:ascii="Calibri" w:hAnsi="Calibri"/>
                <w:color w:val="1F2937"/>
                <w:sz w:val="20"/>
              </w:rPr>
              <w:t>5</w:t>
            </w:r>
          </w:p>
        </w:tc>
        <w:tc>
          <w:tcPr>
            <w:tcW w:type="dxa" w:w="2268"/>
          </w:tcPr>
          <w:p>
            <w:r/>
            <w:r>
              <w:rPr>
                <w:rFonts w:ascii="Calibri" w:hAnsi="Calibri"/>
                <w:color w:val="1F2937"/>
                <w:sz w:val="20"/>
              </w:rPr>
              <w:t>Producten</w:t>
            </w:r>
          </w:p>
        </w:tc>
        <w:tc>
          <w:tcPr>
            <w:tcW w:type="dxa" w:w="6803"/>
          </w:tcPr>
          <w:p>
            <w:r/>
            <w:r>
              <w:rPr>
                <w:rFonts w:ascii="Calibri" w:hAnsi="Calibri"/>
                <w:color w:val="1F2937"/>
                <w:sz w:val="20"/>
              </w:rPr>
              <w:t>Invoering van nieuwe grondstoffen, halffabricaten, eindproducten of bijproducten</w:t>
            </w:r>
          </w:p>
        </w:tc>
      </w:tr>
      <w:tr>
        <w:tc>
          <w:tcPr>
            <w:tcW w:type="dxa" w:w="680"/>
            <w:shd w:fill="F0F4F8"/>
          </w:tcPr>
          <w:p>
            <w:r/>
            <w:r>
              <w:rPr>
                <w:rFonts w:ascii="Calibri" w:hAnsi="Calibri"/>
                <w:color w:val="1F2937"/>
                <w:sz w:val="20"/>
              </w:rPr>
              <w:t>6</w:t>
            </w:r>
          </w:p>
        </w:tc>
        <w:tc>
          <w:tcPr>
            <w:tcW w:type="dxa" w:w="2268"/>
            <w:shd w:fill="F0F4F8"/>
          </w:tcPr>
          <w:p>
            <w:r/>
            <w:r>
              <w:rPr>
                <w:rFonts w:ascii="Calibri" w:hAnsi="Calibri"/>
                <w:color w:val="1F2937"/>
                <w:sz w:val="20"/>
              </w:rPr>
              <w:t>Omgevingsfactoren</w:t>
            </w:r>
          </w:p>
        </w:tc>
        <w:tc>
          <w:tcPr>
            <w:tcW w:type="dxa" w:w="6803"/>
            <w:shd w:fill="F0F4F8"/>
          </w:tcPr>
          <w:p>
            <w:r/>
            <w:r>
              <w:rPr>
                <w:rFonts w:ascii="Calibri" w:hAnsi="Calibri"/>
                <w:color w:val="1F2937"/>
                <w:sz w:val="20"/>
              </w:rPr>
              <w:t>Wijzigingen in externe condities: wetgeving, omgevingsvergunningen, nabijheid van derden</w:t>
            </w:r>
          </w:p>
        </w:tc>
      </w:tr>
      <w:tr>
        <w:tc>
          <w:tcPr>
            <w:tcW w:type="dxa" w:w="680"/>
          </w:tcPr>
          <w:p>
            <w:r/>
            <w:r>
              <w:rPr>
                <w:rFonts w:ascii="Calibri" w:hAnsi="Calibri"/>
                <w:color w:val="1F2937"/>
                <w:sz w:val="20"/>
              </w:rPr>
              <w:t>7</w:t>
            </w:r>
          </w:p>
        </w:tc>
        <w:tc>
          <w:tcPr>
            <w:tcW w:type="dxa" w:w="2268"/>
          </w:tcPr>
          <w:p>
            <w:r/>
            <w:r>
              <w:rPr>
                <w:rFonts w:ascii="Calibri" w:hAnsi="Calibri"/>
                <w:color w:val="1F2937"/>
                <w:sz w:val="20"/>
              </w:rPr>
              <w:t>Maatregelen n.a.v. afwijking</w:t>
            </w:r>
          </w:p>
        </w:tc>
        <w:tc>
          <w:tcPr>
            <w:tcW w:type="dxa" w:w="6803"/>
          </w:tcPr>
          <w:p>
            <w:r/>
            <w:r>
              <w:rPr>
                <w:rFonts w:ascii="Calibri" w:hAnsi="Calibri"/>
                <w:color w:val="1F2937"/>
                <w:sz w:val="20"/>
              </w:rPr>
              <w:t>Wijzigingen die voortvloeien uit incidenten, bijna-ongevallen, audits of inspectiebevindingen</w:t>
            </w:r>
          </w:p>
        </w:tc>
      </w:tr>
      <w:tr>
        <w:tc>
          <w:tcPr>
            <w:tcW w:type="dxa" w:w="680"/>
            <w:shd w:fill="F0F4F8"/>
          </w:tcPr>
          <w:p>
            <w:r/>
            <w:r>
              <w:rPr>
                <w:rFonts w:ascii="Calibri" w:hAnsi="Calibri"/>
                <w:color w:val="1F2937"/>
                <w:sz w:val="20"/>
              </w:rPr>
              <w:t>8</w:t>
            </w:r>
          </w:p>
        </w:tc>
        <w:tc>
          <w:tcPr>
            <w:tcW w:type="dxa" w:w="2268"/>
            <w:shd w:fill="F0F4F8"/>
          </w:tcPr>
          <w:p>
            <w:r/>
            <w:r>
              <w:rPr>
                <w:rFonts w:ascii="Calibri" w:hAnsi="Calibri"/>
                <w:color w:val="1F2937"/>
                <w:sz w:val="20"/>
              </w:rPr>
              <w:t>Noodvoorzieningen</w:t>
            </w:r>
          </w:p>
        </w:tc>
        <w:tc>
          <w:tcPr>
            <w:tcW w:type="dxa" w:w="6803"/>
            <w:shd w:fill="F0F4F8"/>
          </w:tcPr>
          <w:p>
            <w:r/>
            <w:r>
              <w:rPr>
                <w:rFonts w:ascii="Calibri" w:hAnsi="Calibri"/>
                <w:color w:val="1F2937"/>
                <w:sz w:val="20"/>
              </w:rPr>
              <w:t>Wijzigingen aan brandblussystemen, gasdetectie, ontsnappingsroutes of alarmssystemen</w:t>
            </w:r>
          </w:p>
        </w:tc>
      </w:tr>
      <w:tr>
        <w:tc>
          <w:tcPr>
            <w:tcW w:type="dxa" w:w="680"/>
          </w:tcPr>
          <w:p>
            <w:r/>
            <w:r>
              <w:rPr>
                <w:rFonts w:ascii="Calibri" w:hAnsi="Calibri"/>
                <w:color w:val="1F2937"/>
                <w:sz w:val="20"/>
              </w:rPr>
              <w:t>9</w:t>
            </w:r>
          </w:p>
        </w:tc>
        <w:tc>
          <w:tcPr>
            <w:tcW w:type="dxa" w:w="2268"/>
          </w:tcPr>
          <w:p>
            <w:r/>
            <w:r>
              <w:rPr>
                <w:rFonts w:ascii="Calibri" w:hAnsi="Calibri"/>
                <w:color w:val="1F2937"/>
                <w:sz w:val="20"/>
              </w:rPr>
              <w:t>Software</w:t>
            </w:r>
          </w:p>
        </w:tc>
        <w:tc>
          <w:tcPr>
            <w:tcW w:type="dxa" w:w="6803"/>
          </w:tcPr>
          <w:p>
            <w:r/>
            <w:r>
              <w:rPr>
                <w:rFonts w:ascii="Calibri" w:hAnsi="Calibri"/>
                <w:color w:val="1F2937"/>
                <w:sz w:val="20"/>
              </w:rPr>
              <w:t>Wijzigingen aan procesbesturing (DCS/PLC), SCADA, SIS-logica of beveiligingssystemen</w:t>
            </w:r>
          </w:p>
        </w:tc>
      </w:tr>
    </w:tbl>
    <w:p>
      <w:pPr>
        <w:pStyle w:val="Heading2"/>
      </w:pPr>
      <w:r>
        <w:t>3.3 Tijdelijke vs. permanente wijzigingen</w:t>
      </w:r>
    </w:p>
    <w:p>
      <w:pPr>
        <w:spacing w:after="120"/>
      </w:pPr>
      <w:r>
        <w:rPr>
          <w:rFonts w:ascii="Calibri" w:hAnsi="Calibri"/>
          <w:b w:val="0"/>
          <w:color w:val="1F2937"/>
          <w:sz w:val="22"/>
        </w:rPr>
        <w:t>Tijdelijke wijzigingen zijn wijzigingen met een vooraf gedefinieerde beperkte geldigheidsduur (bijv. bypass van een veiligheidssysteem tijdens onderhoud). Na afloop van de termijn moet de oorspronkelijke situatie worden hersteld of moet de wijziging worden omgezet in een permanente wijziging via het MoC-proces. Permanente wijzigingen zijn definitief en vereisen volledige documentatie-updates [8].</w:t>
      </w:r>
    </w:p>
    <w:p>
      <w:pPr>
        <w:pStyle w:val="Heading2"/>
      </w:pPr>
      <w:r>
        <w:t>3.4 Spoedeisende wijzigingen</w:t>
      </w:r>
    </w:p>
    <w:p>
      <w:pPr>
        <w:spacing w:after="120"/>
      </w:pPr>
      <w:r>
        <w:rPr>
          <w:rFonts w:ascii="Calibri" w:hAnsi="Calibri"/>
          <w:b w:val="0"/>
          <w:color w:val="1F2937"/>
          <w:sz w:val="22"/>
        </w:rPr>
        <w:t>Spoedeisende wijzigingen (emergency changes) zijn wijzigingen die direct moeten worden doorgevoerd om een acuut risico voor veiligheid, gezondheid of milieu af te wenden. Het MoC-proces kent een versnelde goedkeuringsroute voor deze situaties. De achteraf-documentatie en evaluatie zijn verplicht binnen 72 uur na de wijziging [3][8].</w:t>
      </w:r>
    </w:p>
    <w:p>
      <w:pPr>
        <w:pStyle w:val="Heading2"/>
      </w:pPr>
      <w:r>
        <w:t>3.5 Vervanging-in-soortgelijk (Replacement in Kind — RiF)</w:t>
      </w:r>
    </w:p>
    <w:p>
      <w:pPr>
        <w:spacing w:after="120"/>
      </w:pPr>
      <w:r>
        <w:rPr>
          <w:rFonts w:ascii="Calibri" w:hAnsi="Calibri"/>
          <w:b w:val="0"/>
          <w:color w:val="1F2937"/>
          <w:sz w:val="22"/>
        </w:rPr>
        <w:t>Vervanging-in-soortgelijk (RiF) is de vervanging van een onderdeel, systeem of procedure door een equivalent exemplaar met dezelfde specificaties, prestaties en veiligheidskenmerken. RiF-valt NIET onder het MoC-proces, mits de equivalentie schriftelijk wordt gemotiveerd door een bevoegde functionaris [8]. Bij twijfel geldt altijd: aanmelden als MoC.</w:t>
      </w:r>
    </w:p>
    <w:p>
      <w:pPr>
        <w:pStyle w:val="Heading2"/>
      </w:pPr>
      <w:r>
        <w:t>3.6 MoC-waardig</w:t>
      </w:r>
    </w:p>
    <w:p>
      <w:pPr>
        <w:spacing w:after="120"/>
      </w:pPr>
      <w:r>
        <w:rPr>
          <w:rFonts w:ascii="Calibri" w:hAnsi="Calibri"/>
          <w:b w:val="0"/>
          <w:color w:val="1F2937"/>
          <w:sz w:val="22"/>
        </w:rPr>
        <w:t>Een wijziging is "MoC-waardig" wanneer deze van invloed kan zijn op het risicoprofiel van de inrichting, installatie of het proces. De beoordeling of een wijziging MoC-waardig is, wordt verricht door de MoC-coördinator. Bij twijfel geldt het voorzorgsprincipe: de wijziging wordt als MoC-waardig beschouwd en doorloopt het volledige proces [4].</w:t>
      </w:r>
    </w:p>
    <w:p>
      <w:r>
        <w:br w:type="page"/>
      </w:r>
    </w:p>
    <w:p>
      <w:pPr>
        <w:pStyle w:val="Heading1"/>
      </w:pPr>
      <w:r>
        <w:t>4. Beleidsuitgangspunten</w:t>
      </w:r>
    </w:p>
    <w:p>
      <w:pPr>
        <w:pStyle w:val="Heading2"/>
      </w:pPr>
      <w:r>
        <w:t>4.1 Geen wijziging zonder voorafgaande beoordeling</w:t>
      </w:r>
    </w:p>
    <w:p>
      <w:pPr>
        <w:spacing w:after="120"/>
      </w:pPr>
      <w:r>
        <w:rPr>
          <w:rFonts w:ascii="Calibri" w:hAnsi="Calibri"/>
          <w:b w:val="0"/>
          <w:color w:val="1F2937"/>
          <w:sz w:val="22"/>
        </w:rPr>
        <w:t>Elke voorgenomen wijziging die valt binnen de scope van dit beleid (hoofdstuk 5) wordt vooraf systematisch beoordeeld op veiligheids-, gezondheids- en milieuaspecten. Implementatie zonder formele goedkeuring is niet toegestaan, met uitzondering van spoedeisende wijzigingen als bedoeld in paragraaf 3.4 [3][4].</w:t>
      </w:r>
    </w:p>
    <w:p>
      <w:pPr>
        <w:pStyle w:val="Heading2"/>
      </w:pPr>
      <w:r>
        <w:t>4.2 Risicobeheersing staat centraal</w:t>
      </w:r>
    </w:p>
    <w:p>
      <w:pPr>
        <w:spacing w:after="120"/>
      </w:pPr>
      <w:r>
        <w:rPr>
          <w:rFonts w:ascii="Calibri" w:hAnsi="Calibri"/>
          <w:b w:val="0"/>
          <w:color w:val="1F2937"/>
          <w:sz w:val="22"/>
        </w:rPr>
        <w:t>De risicobeoordeling vormt de kern van elke MoC-beoordeling. De beoordeling is gebaseerd op de methodiek van VBS Element II (Gevaaridentificatie &amp; Risico-evaluatie) en omvat minimaal:</w:t>
      </w:r>
    </w:p>
    <w:p>
      <w:pPr>
        <w:pStyle w:val="ListBullet"/>
      </w:pPr>
      <w:r>
        <w:rPr>
          <w:sz w:val="22"/>
        </w:rPr>
        <w:t>Identificatie van gevaren die door de wijziging kunnen worden geïntroduceerd of versterkt.</w:t>
      </w:r>
    </w:p>
    <w:p>
      <w:pPr>
        <w:pStyle w:val="ListBullet"/>
      </w:pPr>
      <w:r>
        <w:rPr>
          <w:sz w:val="22"/>
        </w:rPr>
        <w:t>Beoordeling van de impact op bestaande barrières en veiligheidsmaatregelen.</w:t>
      </w:r>
    </w:p>
    <w:p>
      <w:pPr>
        <w:pStyle w:val="ListBullet"/>
      </w:pPr>
      <w:r>
        <w:rPr>
          <w:sz w:val="22"/>
        </w:rPr>
        <w:t>Bepaling van aanvullende risicobeheersmaatregelen indien het risiconiveau toeneemt.</w:t>
      </w:r>
    </w:p>
    <w:p>
      <w:pPr>
        <w:pStyle w:val="ListBullet"/>
      </w:pPr>
      <w:r>
        <w:rPr>
          <w:sz w:val="22"/>
        </w:rPr>
        <w:t>Verificatie dat het residuele risico binnen de acceptatiecriteria valt.</w:t>
      </w:r>
    </w:p>
    <w:p>
      <w:pPr>
        <w:pStyle w:val="Heading2"/>
      </w:pPr>
      <w:r>
        <w:t>4.3 Elk persoon kan een MoC initiëren</w:t>
      </w:r>
    </w:p>
    <w:p>
      <w:pPr>
        <w:spacing w:after="120"/>
      </w:pPr>
      <w:r>
        <w:rPr>
          <w:rFonts w:ascii="Calibri" w:hAnsi="Calibri"/>
          <w:b w:val="0"/>
          <w:color w:val="1F2937"/>
          <w:sz w:val="22"/>
        </w:rPr>
        <w:t>Elke medewerker, ongeacht functieniveau, kan een voorgenomen wijziging aanmelden bij de MoC-coördinator. Dit principe waarborgt dat ook operationeel personeel dat potentieel impactvolle wijzigingen signaleert, deze laagdrempelig kan aanmelden. De MoC-coördinator beoordeelt of de aanmelding inderdaad MoC-waardig is [4].</w:t>
      </w:r>
    </w:p>
    <w:p>
      <w:pPr>
        <w:pStyle w:val="Heading2"/>
      </w:pPr>
      <w:r>
        <w:t>4.4 Multidisciplinair MoC-team</w:t>
      </w:r>
    </w:p>
    <w:p>
      <w:pPr>
        <w:spacing w:after="120"/>
      </w:pPr>
      <w:r>
        <w:rPr>
          <w:rFonts w:ascii="Calibri" w:hAnsi="Calibri"/>
          <w:b w:val="0"/>
          <w:color w:val="1F2937"/>
          <w:sz w:val="22"/>
        </w:rPr>
        <w:t>De MoC-beoordeling wordt uitgevoerd door een multidisciplinair team met minimaal de volgende domeinexpertise:</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Domein</w:t>
            </w:r>
          </w:p>
        </w:tc>
        <w:tc>
          <w:tcPr>
            <w:tcW w:type="dxa" w:w="6803"/>
            <w:shd w:fill="003366"/>
          </w:tcPr>
          <w:p>
            <w:r/>
            <w:r>
              <w:rPr>
                <w:rFonts w:ascii="Calibri" w:hAnsi="Calibri"/>
                <w:b/>
                <w:color w:val="FFFFFF"/>
                <w:sz w:val="20"/>
              </w:rPr>
              <w:t>Toegevoegde waarde</w:t>
            </w:r>
          </w:p>
        </w:tc>
      </w:tr>
      <w:tr>
        <w:tc>
          <w:tcPr>
            <w:tcW w:type="dxa" w:w="2268"/>
          </w:tcPr>
          <w:p>
            <w:r/>
            <w:r>
              <w:rPr>
                <w:rFonts w:ascii="Calibri" w:hAnsi="Calibri"/>
                <w:color w:val="1F2937"/>
                <w:sz w:val="20"/>
              </w:rPr>
              <w:t>HSE</w:t>
            </w:r>
          </w:p>
        </w:tc>
        <w:tc>
          <w:tcPr>
            <w:tcW w:type="dxa" w:w="6803"/>
          </w:tcPr>
          <w:p>
            <w:r/>
            <w:r>
              <w:rPr>
                <w:rFonts w:ascii="Calibri" w:hAnsi="Calibri"/>
                <w:color w:val="1F2937"/>
                <w:sz w:val="20"/>
              </w:rPr>
              <w:t>Veiligheids-, gezondheids- en milieu-expertise</w:t>
            </w:r>
          </w:p>
        </w:tc>
      </w:tr>
      <w:tr>
        <w:tc>
          <w:tcPr>
            <w:tcW w:type="dxa" w:w="2268"/>
            <w:shd w:fill="F0F4F8"/>
          </w:tcPr>
          <w:p>
            <w:r/>
            <w:r>
              <w:rPr>
                <w:rFonts w:ascii="Calibri" w:hAnsi="Calibri"/>
                <w:color w:val="1F2937"/>
                <w:sz w:val="20"/>
              </w:rPr>
              <w:t>Operations</w:t>
            </w:r>
          </w:p>
        </w:tc>
        <w:tc>
          <w:tcPr>
            <w:tcW w:type="dxa" w:w="6803"/>
            <w:shd w:fill="F0F4F8"/>
          </w:tcPr>
          <w:p>
            <w:r/>
            <w:r>
              <w:rPr>
                <w:rFonts w:ascii="Calibri" w:hAnsi="Calibri"/>
                <w:color w:val="1F2937"/>
                <w:sz w:val="20"/>
              </w:rPr>
              <w:t>Proceskennis en operationele ervaring</w:t>
            </w:r>
          </w:p>
        </w:tc>
      </w:tr>
      <w:tr>
        <w:tc>
          <w:tcPr>
            <w:tcW w:type="dxa" w:w="2268"/>
          </w:tcPr>
          <w:p>
            <w:r/>
            <w:r>
              <w:rPr>
                <w:rFonts w:ascii="Calibri" w:hAnsi="Calibri"/>
                <w:color w:val="1F2937"/>
                <w:sz w:val="20"/>
              </w:rPr>
              <w:t>Maintenance</w:t>
            </w:r>
          </w:p>
        </w:tc>
        <w:tc>
          <w:tcPr>
            <w:tcW w:type="dxa" w:w="6803"/>
          </w:tcPr>
          <w:p>
            <w:r/>
            <w:r>
              <w:rPr>
                <w:rFonts w:ascii="Calibri" w:hAnsi="Calibri"/>
                <w:color w:val="1F2937"/>
                <w:sz w:val="20"/>
              </w:rPr>
              <w:t>Technische expertise en installatiekennis</w:t>
            </w:r>
          </w:p>
        </w:tc>
      </w:tr>
    </w:tbl>
    <w:p>
      <w:pPr>
        <w:spacing w:after="120"/>
      </w:pPr>
      <w:r>
        <w:rPr>
          <w:rFonts w:ascii="Calibri" w:hAnsi="Calibri"/>
          <w:b w:val="0"/>
          <w:color w:val="1F2937"/>
          <w:sz w:val="22"/>
        </w:rPr>
        <w:t>Afhankelijk van de aard van de wijziging worden aanvullende deskundigen betrokken, zoals procesingenieurs, elektrotechnisch specialisten, of milieudeskundigen [8].</w:t>
      </w:r>
    </w:p>
    <w:p>
      <w:pPr>
        <w:pStyle w:val="Heading2"/>
      </w:pPr>
      <w:r>
        <w:t>4.5 Traceerbaarheid en documentatie</w:t>
      </w:r>
    </w:p>
    <w:p>
      <w:pPr>
        <w:spacing w:after="120"/>
      </w:pPr>
      <w:r>
        <w:rPr>
          <w:rFonts w:ascii="Calibri" w:hAnsi="Calibri"/>
          <w:b w:val="0"/>
          <w:color w:val="1F2937"/>
          <w:sz w:val="22"/>
        </w:rPr>
        <w:t>Alle MoC-aanvragen, beoordelingen, goedkeuringen, implementatie-activiteiten en evaluaties worden gedocumenteerd en gearchiveerd. Het MoC-register vormt het centrale spoor van alle wijzigingen. Documentatie is minimaal vijf jaar beschikbaar en ter inzage voor toezichthouders [3].</w:t>
      </w:r>
    </w:p>
    <w:p>
      <w:pPr>
        <w:pStyle w:val="Heading2"/>
      </w:pPr>
      <w:r>
        <w:t>4.6 Evaluatie na implementatie</w:t>
      </w:r>
    </w:p>
    <w:p>
      <w:pPr>
        <w:spacing w:after="120"/>
      </w:pPr>
      <w:r>
        <w:rPr>
          <w:rFonts w:ascii="Calibri" w:hAnsi="Calibri"/>
          <w:b w:val="0"/>
          <w:color w:val="1F2937"/>
          <w:sz w:val="22"/>
        </w:rPr>
        <w:t>Na implementatie van een wijziging vindt een evaluatie plaats om te bevestigen dat:</w:t>
      </w:r>
    </w:p>
    <w:p>
      <w:pPr>
        <w:pStyle w:val="ListBullet"/>
      </w:pPr>
      <w:r>
        <w:rPr>
          <w:sz w:val="22"/>
        </w:rPr>
        <w:t>De wijziging functioneert zoals beoogd.</w:t>
      </w:r>
    </w:p>
    <w:p>
      <w:pPr>
        <w:pStyle w:val="ListBullet"/>
      </w:pPr>
      <w:r>
        <w:rPr>
          <w:sz w:val="22"/>
        </w:rPr>
        <w:t>Geen onbedoelde neveneffecten zijn opgetreden.</w:t>
      </w:r>
    </w:p>
    <w:p>
      <w:pPr>
        <w:pStyle w:val="ListBullet"/>
      </w:pPr>
      <w:r>
        <w:rPr>
          <w:sz w:val="22"/>
        </w:rPr>
        <w:t>Het risiconiveau binnen de acceptatiecriteria blijft.</w:t>
      </w:r>
    </w:p>
    <w:p>
      <w:pPr>
        <w:pStyle w:val="ListBullet"/>
      </w:pPr>
      <w:r>
        <w:rPr>
          <w:sz w:val="22"/>
        </w:rPr>
        <w:t>Alle documentatie is bijgewerkt (P&amp;ID's, procedures, RI&amp;E, etc.).</w:t>
      </w:r>
    </w:p>
    <w:p>
      <w:pPr>
        <w:spacing w:after="120"/>
      </w:pPr>
      <w:r>
        <w:rPr>
          <w:rFonts w:ascii="Calibri" w:hAnsi="Calibri"/>
          <w:b w:val="0"/>
          <w:color w:val="1F2937"/>
          <w:sz w:val="22"/>
        </w:rPr>
        <w:t>De evaluatie vindt plaats binnen de in de goedkeuring vastgestelde termijn, doch uiterlijk 90 dagen na implementatie [8].</w:t>
      </w:r>
    </w:p>
    <w:p>
      <w:r>
        <w:br w:type="page"/>
      </w:r>
    </w:p>
    <w:p>
      <w:pPr>
        <w:pStyle w:val="Heading1"/>
      </w:pPr>
      <w:r>
        <w:t>5. Scope &amp; Toepassingsgebied</w:t>
      </w:r>
    </w:p>
    <w:p>
      <w:pPr>
        <w:pStyle w:val="Heading2"/>
      </w:pPr>
      <w:r>
        <w:t>5.1 Wat valt WEL onder MoC</w:t>
      </w:r>
    </w:p>
    <w:p>
      <w:pPr>
        <w:spacing w:after="120"/>
      </w:pPr>
      <w:r>
        <w:rPr>
          <w:rFonts w:ascii="Calibri" w:hAnsi="Calibri"/>
          <w:b w:val="0"/>
          <w:color w:val="1F2937"/>
          <w:sz w:val="22"/>
        </w:rPr>
        <w:t>Het MoC-beleid is van toepassing op alle wijzigingen binnen de Phoenix Metals inrichting die (potentieel) van invloed zijn op:</w:t>
      </w:r>
    </w:p>
    <w:tbl>
      <w:tblPr>
        <w:tblStyle w:val="TableGrid"/>
        <w:tblW w:type="auto" w:w="0"/>
        <w:jc w:val="center"/>
        <w:tblLook w:firstColumn="1" w:firstRow="1" w:lastColumn="0" w:lastRow="0" w:noHBand="0" w:noVBand="1" w:val="04A0"/>
      </w:tblPr>
      <w:tblGrid>
        <w:gridCol w:w="4703"/>
        <w:gridCol w:w="4703"/>
      </w:tblGrid>
      <w:tr>
        <w:tc>
          <w:tcPr>
            <w:tcW w:type="dxa" w:w="2551"/>
            <w:shd w:fill="003366"/>
          </w:tcPr>
          <w:p>
            <w:r/>
            <w:r>
              <w:rPr>
                <w:rFonts w:ascii="Calibri" w:hAnsi="Calibri"/>
                <w:b/>
                <w:color w:val="FFFFFF"/>
                <w:sz w:val="20"/>
              </w:rPr>
              <w:t>Categorie</w:t>
            </w:r>
          </w:p>
        </w:tc>
        <w:tc>
          <w:tcPr>
            <w:tcW w:type="dxa" w:w="6803"/>
            <w:shd w:fill="003366"/>
          </w:tcPr>
          <w:p>
            <w:r/>
            <w:r>
              <w:rPr>
                <w:rFonts w:ascii="Calibri" w:hAnsi="Calibri"/>
                <w:b/>
                <w:color w:val="FFFFFF"/>
                <w:sz w:val="20"/>
              </w:rPr>
              <w:t>Voorbeelden</w:t>
            </w:r>
          </w:p>
        </w:tc>
      </w:tr>
      <w:tr>
        <w:tc>
          <w:tcPr>
            <w:tcW w:type="dxa" w:w="2551"/>
          </w:tcPr>
          <w:p>
            <w:r/>
            <w:r>
              <w:rPr>
                <w:rFonts w:ascii="Calibri" w:hAnsi="Calibri"/>
                <w:color w:val="1F2937"/>
                <w:sz w:val="20"/>
              </w:rPr>
              <w:t>Technisch / Installaties</w:t>
            </w:r>
          </w:p>
        </w:tc>
        <w:tc>
          <w:tcPr>
            <w:tcW w:type="dxa" w:w="6803"/>
          </w:tcPr>
          <w:p>
            <w:r/>
            <w:r>
              <w:rPr>
                <w:rFonts w:ascii="Calibri" w:hAnsi="Calibri"/>
                <w:color w:val="1F2937"/>
                <w:sz w:val="20"/>
              </w:rPr>
              <w:t>Nieuwe apparatuur, wijzigingen aan leidingen, kleppen, pompen, reactoren, opslagtanks, warmtewisselaars</w:t>
            </w:r>
          </w:p>
        </w:tc>
      </w:tr>
      <w:tr>
        <w:tc>
          <w:tcPr>
            <w:tcW w:type="dxa" w:w="2551"/>
            <w:shd w:fill="F0F4F8"/>
          </w:tcPr>
          <w:p>
            <w:r/>
            <w:r>
              <w:rPr>
                <w:rFonts w:ascii="Calibri" w:hAnsi="Calibri"/>
                <w:color w:val="1F2937"/>
                <w:sz w:val="20"/>
              </w:rPr>
              <w:t>Proces &amp; Procescondities</w:t>
            </w:r>
          </w:p>
        </w:tc>
        <w:tc>
          <w:tcPr>
            <w:tcW w:type="dxa" w:w="6803"/>
            <w:shd w:fill="F0F4F8"/>
          </w:tcPr>
          <w:p>
            <w:r/>
            <w:r>
              <w:rPr>
                <w:rFonts w:ascii="Calibri" w:hAnsi="Calibri"/>
                <w:color w:val="1F2937"/>
                <w:sz w:val="20"/>
              </w:rPr>
              <w:t>Wijzigingen in temperatuur, druk, debiet, concentratie, batchgrootte, reactietijd, katalysator</w:t>
            </w:r>
          </w:p>
        </w:tc>
      </w:tr>
      <w:tr>
        <w:tc>
          <w:tcPr>
            <w:tcW w:type="dxa" w:w="2551"/>
          </w:tcPr>
          <w:p>
            <w:r/>
            <w:r>
              <w:rPr>
                <w:rFonts w:ascii="Calibri" w:hAnsi="Calibri"/>
                <w:color w:val="1F2937"/>
                <w:sz w:val="20"/>
              </w:rPr>
              <w:t>Organisatorisch</w:t>
            </w:r>
          </w:p>
        </w:tc>
        <w:tc>
          <w:tcPr>
            <w:tcW w:type="dxa" w:w="6803"/>
          </w:tcPr>
          <w:p>
            <w:r/>
            <w:r>
              <w:rPr>
                <w:rFonts w:ascii="Calibri" w:hAnsi="Calibri"/>
                <w:color w:val="1F2937"/>
                <w:sz w:val="20"/>
              </w:rPr>
              <w:t>Reorganisaties, uitbesteden van kritische taken, wijziging dienstroosters, bezettingsveranderingen</w:t>
            </w:r>
          </w:p>
        </w:tc>
      </w:tr>
      <w:tr>
        <w:tc>
          <w:tcPr>
            <w:tcW w:type="dxa" w:w="2551"/>
            <w:shd w:fill="F0F4F8"/>
          </w:tcPr>
          <w:p>
            <w:r/>
            <w:r>
              <w:rPr>
                <w:rFonts w:ascii="Calibri" w:hAnsi="Calibri"/>
                <w:color w:val="1F2937"/>
                <w:sz w:val="20"/>
              </w:rPr>
              <w:t>Producten &amp; Stoffen</w:t>
            </w:r>
          </w:p>
        </w:tc>
        <w:tc>
          <w:tcPr>
            <w:tcW w:type="dxa" w:w="6803"/>
            <w:shd w:fill="F0F4F8"/>
          </w:tcPr>
          <w:p>
            <w:r/>
            <w:r>
              <w:rPr>
                <w:rFonts w:ascii="Calibri" w:hAnsi="Calibri"/>
                <w:color w:val="1F2937"/>
                <w:sz w:val="20"/>
              </w:rPr>
              <w:t>Nieuwe grondstoffen, verandering leverancier met afwijkende specificaties, nieuwe bijproducten</w:t>
            </w:r>
          </w:p>
        </w:tc>
      </w:tr>
      <w:tr>
        <w:tc>
          <w:tcPr>
            <w:tcW w:type="dxa" w:w="2551"/>
          </w:tcPr>
          <w:p>
            <w:r/>
            <w:r>
              <w:rPr>
                <w:rFonts w:ascii="Calibri" w:hAnsi="Calibri"/>
                <w:color w:val="1F2937"/>
                <w:sz w:val="20"/>
              </w:rPr>
              <w:t>Software &amp; Besturing</w:t>
            </w:r>
          </w:p>
        </w:tc>
        <w:tc>
          <w:tcPr>
            <w:tcW w:type="dxa" w:w="6803"/>
          </w:tcPr>
          <w:p>
            <w:r/>
            <w:r>
              <w:rPr>
                <w:rFonts w:ascii="Calibri" w:hAnsi="Calibri"/>
                <w:color w:val="1F2937"/>
                <w:sz w:val="20"/>
              </w:rPr>
              <w:t>Wijzigingen aan DCS/PLC-logica, alarm-instellingen, SIS-configuratie, SCADA-schermen</w:t>
            </w:r>
          </w:p>
        </w:tc>
      </w:tr>
      <w:tr>
        <w:tc>
          <w:tcPr>
            <w:tcW w:type="dxa" w:w="2551"/>
            <w:shd w:fill="F0F4F8"/>
          </w:tcPr>
          <w:p>
            <w:r/>
            <w:r>
              <w:rPr>
                <w:rFonts w:ascii="Calibri" w:hAnsi="Calibri"/>
                <w:color w:val="1F2937"/>
                <w:sz w:val="20"/>
              </w:rPr>
              <w:t>Procedures &amp; Werkinstructies</w:t>
            </w:r>
          </w:p>
        </w:tc>
        <w:tc>
          <w:tcPr>
            <w:tcW w:type="dxa" w:w="6803"/>
            <w:shd w:fill="F0F4F8"/>
          </w:tcPr>
          <w:p>
            <w:r/>
            <w:r>
              <w:rPr>
                <w:rFonts w:ascii="Calibri" w:hAnsi="Calibri"/>
                <w:color w:val="1F2937"/>
                <w:sz w:val="20"/>
              </w:rPr>
              <w:t>Fundamentele wijzigingen aan veiligheidsprocedures, werkvergunningensysteem, noodprocedures</w:t>
            </w:r>
          </w:p>
        </w:tc>
      </w:tr>
      <w:tr>
        <w:tc>
          <w:tcPr>
            <w:tcW w:type="dxa" w:w="2551"/>
          </w:tcPr>
          <w:p>
            <w:r/>
            <w:r>
              <w:rPr>
                <w:rFonts w:ascii="Calibri" w:hAnsi="Calibri"/>
                <w:color w:val="1F2937"/>
                <w:sz w:val="20"/>
              </w:rPr>
              <w:t>Noodvoorzieningen</w:t>
            </w:r>
          </w:p>
        </w:tc>
        <w:tc>
          <w:tcPr>
            <w:tcW w:type="dxa" w:w="6803"/>
          </w:tcPr>
          <w:p>
            <w:r/>
            <w:r>
              <w:rPr>
                <w:rFonts w:ascii="Calibri" w:hAnsi="Calibri"/>
                <w:color w:val="1F2937"/>
                <w:sz w:val="20"/>
              </w:rPr>
              <w:t>Wijzigingen aan brandblussystemen, gasdetectie, ontsnappingsroutes, rampenbestrijdingsplannen</w:t>
            </w:r>
          </w:p>
        </w:tc>
      </w:tr>
      <w:tr>
        <w:tc>
          <w:tcPr>
            <w:tcW w:type="dxa" w:w="2551"/>
            <w:shd w:fill="F0F4F8"/>
          </w:tcPr>
          <w:p>
            <w:r/>
            <w:r>
              <w:rPr>
                <w:rFonts w:ascii="Calibri" w:hAnsi="Calibri"/>
                <w:color w:val="1F2937"/>
                <w:sz w:val="20"/>
              </w:rPr>
              <w:t>Omgevingsfactoren</w:t>
            </w:r>
          </w:p>
        </w:tc>
        <w:tc>
          <w:tcPr>
            <w:tcW w:type="dxa" w:w="6803"/>
            <w:shd w:fill="F0F4F8"/>
          </w:tcPr>
          <w:p>
            <w:r/>
            <w:r>
              <w:rPr>
                <w:rFonts w:ascii="Calibri" w:hAnsi="Calibri"/>
                <w:color w:val="1F2937"/>
                <w:sz w:val="20"/>
              </w:rPr>
              <w:t>Nieuwe wetgeving, wijziging omgevingsvergunning, nieuwe nabijgelegen risicobronnen</w:t>
            </w:r>
          </w:p>
        </w:tc>
      </w:tr>
      <w:tr>
        <w:tc>
          <w:tcPr>
            <w:tcW w:type="dxa" w:w="2551"/>
          </w:tcPr>
          <w:p>
            <w:r/>
            <w:r>
              <w:rPr>
                <w:rFonts w:ascii="Calibri" w:hAnsi="Calibri"/>
                <w:color w:val="1F2937"/>
                <w:sz w:val="20"/>
              </w:rPr>
              <w:t>Maatregelen n.a.v. afwijking</w:t>
            </w:r>
          </w:p>
        </w:tc>
        <w:tc>
          <w:tcPr>
            <w:tcW w:type="dxa" w:w="6803"/>
          </w:tcPr>
          <w:p>
            <w:r/>
            <w:r>
              <w:rPr>
                <w:rFonts w:ascii="Calibri" w:hAnsi="Calibri"/>
                <w:color w:val="1F2937"/>
                <w:sz w:val="20"/>
              </w:rPr>
              <w:t>Correcties naar aanleiding van incidenten, auditbevindingen, inspectie-resultaten</w:t>
            </w:r>
          </w:p>
        </w:tc>
      </w:tr>
    </w:tbl>
    <w:p>
      <w:pPr>
        <w:pStyle w:val="Heading2"/>
      </w:pPr>
      <w:r>
        <w:t>5.2 Wat valt NIET onder MoC</w:t>
      </w:r>
    </w:p>
    <w:p>
      <w:pPr>
        <w:spacing w:after="120"/>
      </w:pPr>
      <w:r>
        <w:rPr>
          <w:rFonts w:ascii="Calibri" w:hAnsi="Calibri"/>
          <w:b w:val="0"/>
          <w:color w:val="1F2937"/>
          <w:sz w:val="22"/>
        </w:rPr>
        <w:t>De volgende gevallen vallen buiten de scope van het MoC-proces:</w:t>
      </w:r>
    </w:p>
    <w:p>
      <w:pPr>
        <w:pStyle w:val="ListBullet"/>
      </w:pPr>
      <w:r>
        <w:rPr>
          <w:sz w:val="22"/>
        </w:rPr>
        <w:t>Vervanging-in-soortgelijk (RiF) — vervanging door identiek exemplaar met dezelfde specificaties (zie paragraaf 3.5).</w:t>
      </w:r>
    </w:p>
    <w:p>
      <w:pPr>
        <w:pStyle w:val="ListBullet"/>
      </w:pPr>
      <w:r>
        <w:rPr>
          <w:sz w:val="22"/>
        </w:rPr>
        <w:t>Routine-onderhoud volgens goedgekeurde onderhoudsprocedures (gedekt door VBS Element III).</w:t>
      </w:r>
    </w:p>
    <w:p>
      <w:pPr>
        <w:pStyle w:val="ListBullet"/>
      </w:pPr>
      <w:r>
        <w:rPr>
          <w:sz w:val="22"/>
        </w:rPr>
        <w:t>Routine-aanpassingen binnen goedgekeurde operationele parameters (binnen Safe Operating Limits).</w:t>
      </w:r>
    </w:p>
    <w:p>
      <w:pPr>
        <w:pStyle w:val="ListBullet"/>
      </w:pPr>
      <w:r>
        <w:rPr>
          <w:sz w:val="22"/>
        </w:rPr>
        <w:t>Administratieve wijzigingen zonder impact op veiligheid, gezondheid of milieu (bijv. lay-out van niet-kritische documenten).</w:t>
      </w:r>
    </w:p>
    <w:p>
      <w:pPr>
        <w:pStyle w:val="Heading2"/>
      </w:pPr>
      <w:r>
        <w:t>5.3 Grensgebieden — Het voorzorgsprincipe</w:t>
      </w:r>
    </w:p>
    <w:p>
      <w:pPr>
        <w:spacing w:after="120"/>
      </w:pPr>
      <w:r>
        <w:rPr>
          <w:rFonts w:ascii="Calibri" w:hAnsi="Calibri"/>
          <w:b w:val="0"/>
          <w:color w:val="1F2937"/>
          <w:sz w:val="22"/>
        </w:rPr>
        <w:t>Bij twijfel of een wijziging onder het MoC-beleid valt, geldt het voorzorgsprincipe: de wijziging wordt als MoC-waardig beschouwd en doorloopt het MoC-proces. De MoC-coördinator neemt de beslissing bij grensgevallen. Het niet-aanmelden van een potentieel MoC-waardige wijziging wordt beschouwd als een afwijking van het VBS [4].</w:t>
      </w:r>
    </w:p>
    <w:p>
      <w:r>
        <w:br w:type="page"/>
      </w:r>
    </w:p>
    <w:p>
      <w:pPr>
        <w:pStyle w:val="Heading1"/>
      </w:pPr>
      <w:r>
        <w:t>6. Relatie met andere VBS Elementen</w:t>
      </w:r>
    </w:p>
    <w:p>
      <w:pPr>
        <w:spacing w:after="120"/>
      </w:pPr>
      <w:r>
        <w:rPr>
          <w:rFonts w:ascii="Calibri" w:hAnsi="Calibri"/>
          <w:b w:val="0"/>
          <w:color w:val="1F2937"/>
          <w:sz w:val="22"/>
        </w:rPr>
        <w:t>Het MoC-beleid staat niet op zichzelf, maar is verweven met alle elementen van het VeiligheidsBeheerSysteem. De volgende tabel toont de primaire koppelingen:</w:t>
      </w:r>
    </w:p>
    <w:p>
      <w:pPr>
        <w:pStyle w:val="Heading2"/>
      </w:pPr>
      <w:r>
        <w:t>6.1 Koppelingstabel</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VBS Element</w:t>
            </w:r>
          </w:p>
        </w:tc>
        <w:tc>
          <w:tcPr>
            <w:tcW w:type="dxa" w:w="6803"/>
            <w:shd w:fill="003366"/>
          </w:tcPr>
          <w:p>
            <w:r/>
            <w:r>
              <w:rPr>
                <w:rFonts w:ascii="Calibri" w:hAnsi="Calibri"/>
                <w:b/>
                <w:color w:val="FFFFFF"/>
                <w:sz w:val="20"/>
              </w:rPr>
              <w:t>Koppeling met MoC</w:t>
            </w:r>
          </w:p>
        </w:tc>
      </w:tr>
      <w:tr>
        <w:tc>
          <w:tcPr>
            <w:tcW w:type="dxa" w:w="2835"/>
          </w:tcPr>
          <w:p>
            <w:r/>
            <w:r>
              <w:rPr>
                <w:rFonts w:ascii="Calibri" w:hAnsi="Calibri"/>
                <w:color w:val="1F2937"/>
                <w:sz w:val="20"/>
              </w:rPr>
              <w:t>I — PBZO Beleid</w:t>
            </w:r>
          </w:p>
        </w:tc>
        <w:tc>
          <w:tcPr>
            <w:tcW w:type="dxa" w:w="6803"/>
          </w:tcPr>
          <w:p>
            <w:r/>
            <w:r>
              <w:rPr>
                <w:rFonts w:ascii="Calibri" w:hAnsi="Calibri"/>
                <w:color w:val="1F2937"/>
                <w:sz w:val="20"/>
              </w:rPr>
              <w:t>MoC-beleid is afgeleid van het PBZO-beleid; directiecommitment en HSE-doelstellingen sturen het MoC-proces</w:t>
            </w:r>
          </w:p>
        </w:tc>
      </w:tr>
      <w:tr>
        <w:tc>
          <w:tcPr>
            <w:tcW w:type="dxa" w:w="2835"/>
            <w:shd w:fill="F0F4F8"/>
          </w:tcPr>
          <w:p>
            <w:r/>
            <w:r>
              <w:rPr>
                <w:rFonts w:ascii="Calibri" w:hAnsi="Calibri"/>
                <w:color w:val="1F2937"/>
                <w:sz w:val="20"/>
              </w:rPr>
              <w:t>I — Rollen &amp; Verantwoordelijkheden</w:t>
            </w:r>
          </w:p>
        </w:tc>
        <w:tc>
          <w:tcPr>
            <w:tcW w:type="dxa" w:w="6803"/>
            <w:shd w:fill="F0F4F8"/>
          </w:tcPr>
          <w:p>
            <w:r/>
            <w:r>
              <w:rPr>
                <w:rFonts w:ascii="Calibri" w:hAnsi="Calibri"/>
                <w:color w:val="1F2937"/>
                <w:sz w:val="20"/>
              </w:rPr>
              <w:t>MoC-rollen (coördinator, team, aanvrager) zijn gedefinieerd in functieprofielen</w:t>
            </w:r>
          </w:p>
        </w:tc>
      </w:tr>
      <w:tr>
        <w:tc>
          <w:tcPr>
            <w:tcW w:type="dxa" w:w="2835"/>
          </w:tcPr>
          <w:p>
            <w:r/>
            <w:r>
              <w:rPr>
                <w:rFonts w:ascii="Calibri" w:hAnsi="Calibri"/>
                <w:color w:val="1F2937"/>
                <w:sz w:val="20"/>
              </w:rPr>
              <w:t>I — Training &amp; Competentie</w:t>
            </w:r>
          </w:p>
        </w:tc>
        <w:tc>
          <w:tcPr>
            <w:tcW w:type="dxa" w:w="6803"/>
          </w:tcPr>
          <w:p>
            <w:r/>
            <w:r>
              <w:rPr>
                <w:rFonts w:ascii="Calibri" w:hAnsi="Calibri"/>
                <w:color w:val="1F2937"/>
                <w:sz w:val="20"/>
              </w:rPr>
              <w:t>MoC-training is opgenomen in de training matrix; nieuwe MoC-procedures vereisen training</w:t>
            </w:r>
          </w:p>
        </w:tc>
      </w:tr>
      <w:tr>
        <w:tc>
          <w:tcPr>
            <w:tcW w:type="dxa" w:w="2835"/>
            <w:shd w:fill="F0F4F8"/>
          </w:tcPr>
          <w:p>
            <w:r/>
            <w:r>
              <w:rPr>
                <w:rFonts w:ascii="Calibri" w:hAnsi="Calibri"/>
                <w:color w:val="1F2937"/>
                <w:sz w:val="20"/>
              </w:rPr>
              <w:t>II — Gevaaridentificatie</w:t>
            </w:r>
          </w:p>
        </w:tc>
        <w:tc>
          <w:tcPr>
            <w:tcW w:type="dxa" w:w="6803"/>
            <w:shd w:fill="F0F4F8"/>
          </w:tcPr>
          <w:p>
            <w:r/>
            <w:r>
              <w:rPr>
                <w:rFonts w:ascii="Calibri" w:hAnsi="Calibri"/>
                <w:color w:val="1F2937"/>
                <w:sz w:val="20"/>
              </w:rPr>
              <w:t>MoC-risicobeoordeling gebruikt de methodiek en gevarendatabase van Element II</w:t>
            </w:r>
          </w:p>
        </w:tc>
      </w:tr>
      <w:tr>
        <w:tc>
          <w:tcPr>
            <w:tcW w:type="dxa" w:w="2835"/>
          </w:tcPr>
          <w:p>
            <w:r/>
            <w:r>
              <w:rPr>
                <w:rFonts w:ascii="Calibri" w:hAnsi="Calibri"/>
                <w:color w:val="1F2937"/>
                <w:sz w:val="20"/>
              </w:rPr>
              <w:t>II — Risicoanalyse (HAZOP)</w:t>
            </w:r>
          </w:p>
        </w:tc>
        <w:tc>
          <w:tcPr>
            <w:tcW w:type="dxa" w:w="6803"/>
          </w:tcPr>
          <w:p>
            <w:r/>
            <w:r>
              <w:rPr>
                <w:rFonts w:ascii="Calibri" w:hAnsi="Calibri"/>
                <w:color w:val="1F2937"/>
                <w:sz w:val="20"/>
              </w:rPr>
              <w:t>Significante wijzigingen vereisen HAZOP of equivalente risicoanalyse</w:t>
            </w:r>
          </w:p>
        </w:tc>
      </w:tr>
      <w:tr>
        <w:tc>
          <w:tcPr>
            <w:tcW w:type="dxa" w:w="2835"/>
            <w:shd w:fill="F0F4F8"/>
          </w:tcPr>
          <w:p>
            <w:r/>
            <w:r>
              <w:rPr>
                <w:rFonts w:ascii="Calibri" w:hAnsi="Calibri"/>
                <w:color w:val="1F2937"/>
                <w:sz w:val="20"/>
              </w:rPr>
              <w:t>II — Risicomatrix</w:t>
            </w:r>
          </w:p>
        </w:tc>
        <w:tc>
          <w:tcPr>
            <w:tcW w:type="dxa" w:w="6803"/>
            <w:shd w:fill="F0F4F8"/>
          </w:tcPr>
          <w:p>
            <w:r/>
            <w:r>
              <w:rPr>
                <w:rFonts w:ascii="Calibri" w:hAnsi="Calibri"/>
                <w:color w:val="1F2937"/>
                <w:sz w:val="20"/>
              </w:rPr>
              <w:t>De risicomatrix uit Element II wordt gebruikt om MoC-risicoclassificatie te bepalen</w:t>
            </w:r>
          </w:p>
        </w:tc>
      </w:tr>
      <w:tr>
        <w:tc>
          <w:tcPr>
            <w:tcW w:type="dxa" w:w="2835"/>
          </w:tcPr>
          <w:p>
            <w:r/>
            <w:r>
              <w:rPr>
                <w:rFonts w:ascii="Calibri" w:hAnsi="Calibri"/>
                <w:color w:val="1F2937"/>
                <w:sz w:val="20"/>
              </w:rPr>
              <w:t>III — Control of Work</w:t>
            </w:r>
          </w:p>
        </w:tc>
        <w:tc>
          <w:tcPr>
            <w:tcW w:type="dxa" w:w="6803"/>
          </w:tcPr>
          <w:p>
            <w:r/>
            <w:r>
              <w:rPr>
                <w:rFonts w:ascii="Calibri" w:hAnsi="Calibri"/>
                <w:color w:val="1F2937"/>
                <w:sz w:val="20"/>
              </w:rPr>
              <w:t>MoC-goedkeuring is randvoorwaarde voor werkvergunning bij wijzigingswerkzaamheden</w:t>
            </w:r>
          </w:p>
        </w:tc>
      </w:tr>
      <w:tr>
        <w:tc>
          <w:tcPr>
            <w:tcW w:type="dxa" w:w="2835"/>
            <w:shd w:fill="F0F4F8"/>
          </w:tcPr>
          <w:p>
            <w:r/>
            <w:r>
              <w:rPr>
                <w:rFonts w:ascii="Calibri" w:hAnsi="Calibri"/>
                <w:color w:val="1F2937"/>
                <w:sz w:val="20"/>
              </w:rPr>
              <w:t>III — PSSR</w:t>
            </w:r>
          </w:p>
        </w:tc>
        <w:tc>
          <w:tcPr>
            <w:tcW w:type="dxa" w:w="6803"/>
            <w:shd w:fill="F0F4F8"/>
          </w:tcPr>
          <w:p>
            <w:r/>
            <w:r>
              <w:rPr>
                <w:rFonts w:ascii="Calibri" w:hAnsi="Calibri"/>
                <w:color w:val="1F2937"/>
                <w:sz w:val="20"/>
              </w:rPr>
              <w:t>Pre-Startup Safety Review is verplicht na implementatie van een MoC-wijziging</w:t>
            </w:r>
          </w:p>
        </w:tc>
      </w:tr>
      <w:tr>
        <w:tc>
          <w:tcPr>
            <w:tcW w:type="dxa" w:w="2835"/>
          </w:tcPr>
          <w:p>
            <w:r/>
            <w:r>
              <w:rPr>
                <w:rFonts w:ascii="Calibri" w:hAnsi="Calibri"/>
                <w:color w:val="1F2937"/>
                <w:sz w:val="20"/>
              </w:rPr>
              <w:t>III — Onderhoud</w:t>
            </w:r>
          </w:p>
        </w:tc>
        <w:tc>
          <w:tcPr>
            <w:tcW w:type="dxa" w:w="6803"/>
          </w:tcPr>
          <w:p>
            <w:r/>
            <w:r>
              <w:rPr>
                <w:rFonts w:ascii="Calibri" w:hAnsi="Calibri"/>
                <w:color w:val="1F2937"/>
                <w:sz w:val="20"/>
              </w:rPr>
              <w:t>Grootonderhoud dat afwijkt van standaardprocedures valt onder MoC</w:t>
            </w:r>
          </w:p>
        </w:tc>
      </w:tr>
      <w:tr>
        <w:tc>
          <w:tcPr>
            <w:tcW w:type="dxa" w:w="2835"/>
            <w:shd w:fill="F0F4F8"/>
          </w:tcPr>
          <w:p>
            <w:r/>
            <w:r>
              <w:rPr>
                <w:rFonts w:ascii="Calibri" w:hAnsi="Calibri"/>
                <w:color w:val="1F2937"/>
                <w:sz w:val="20"/>
              </w:rPr>
              <w:t>IV — Noodplan</w:t>
            </w:r>
          </w:p>
        </w:tc>
        <w:tc>
          <w:tcPr>
            <w:tcW w:type="dxa" w:w="6803"/>
            <w:shd w:fill="F0F4F8"/>
          </w:tcPr>
          <w:p>
            <w:r/>
            <w:r>
              <w:rPr>
                <w:rFonts w:ascii="Calibri" w:hAnsi="Calibri"/>
                <w:color w:val="1F2937"/>
                <w:sz w:val="20"/>
              </w:rPr>
              <w:t>Wijzigingen aan noodvoorzieningen vereisen actualisatie van het bedrijfsnoodplan</w:t>
            </w:r>
          </w:p>
        </w:tc>
      </w:tr>
    </w:tbl>
    <w:p>
      <w:pPr>
        <w:pStyle w:val="Heading2"/>
      </w:pPr>
      <w:r>
        <w:t>6.2 Interactie-matrix</w:t>
      </w:r>
    </w:p>
    <w:p>
      <w:pPr>
        <w:spacing w:after="120"/>
      </w:pPr>
      <w:r>
        <w:rPr>
          <w:rFonts w:ascii="Calibri" w:hAnsi="Calibri"/>
          <w:b w:val="0"/>
          <w:color w:val="1F2937"/>
          <w:sz w:val="22"/>
        </w:rPr>
        <w:t>De interactie-matrix toont de stroom van informatie en acties tussen MoC en de VBS-elementen:</w:t>
      </w:r>
    </w:p>
    <w:tbl>
      <w:tblPr>
        <w:tblStyle w:val="TableGrid"/>
        <w:tblW w:type="auto" w:w="0"/>
        <w:jc w:val="center"/>
        <w:tblLook w:firstColumn="1" w:firstRow="1" w:lastColumn="0" w:lastRow="0" w:noHBand="0" w:noVBand="1" w:val="04A0"/>
      </w:tblPr>
      <w:tblGrid>
        <w:gridCol w:w="4703"/>
        <w:gridCol w:w="4703"/>
      </w:tblGrid>
      <w:tr>
        <w:tc>
          <w:tcPr>
            <w:tcW w:type="dxa" w:w="2268"/>
            <w:shd w:fill="003366"/>
          </w:tcPr>
          <w:p>
            <w:r/>
            <w:r>
              <w:rPr>
                <w:rFonts w:ascii="Calibri" w:hAnsi="Calibri"/>
                <w:b/>
                <w:color w:val="FFFFFF"/>
                <w:sz w:val="20"/>
              </w:rPr>
              <w:t>Interactie</w:t>
            </w:r>
          </w:p>
        </w:tc>
        <w:tc>
          <w:tcPr>
            <w:tcW w:type="dxa" w:w="7370"/>
            <w:shd w:fill="003366"/>
          </w:tcPr>
          <w:p>
            <w:r/>
            <w:r>
              <w:rPr>
                <w:rFonts w:ascii="Calibri" w:hAnsi="Calibri"/>
                <w:b/>
                <w:color w:val="FFFFFF"/>
                <w:sz w:val="20"/>
              </w:rPr>
              <w:t>Beschrijving</w:t>
            </w:r>
          </w:p>
        </w:tc>
      </w:tr>
      <w:tr>
        <w:tc>
          <w:tcPr>
            <w:tcW w:type="dxa" w:w="2268"/>
          </w:tcPr>
          <w:p>
            <w:r/>
            <w:r>
              <w:rPr>
                <w:rFonts w:ascii="Calibri" w:hAnsi="Calibri"/>
                <w:color w:val="1F2937"/>
                <w:sz w:val="20"/>
              </w:rPr>
              <w:t>MoC → E1</w:t>
            </w:r>
          </w:p>
        </w:tc>
        <w:tc>
          <w:tcPr>
            <w:tcW w:type="dxa" w:w="7370"/>
          </w:tcPr>
          <w:p>
            <w:r/>
            <w:r>
              <w:rPr>
                <w:rFonts w:ascii="Calibri" w:hAnsi="Calibri"/>
                <w:color w:val="1F2937"/>
                <w:sz w:val="20"/>
              </w:rPr>
              <w:t>MoC-resultaten verwerkt in beleidsrapportage en KPI's</w:t>
            </w:r>
          </w:p>
        </w:tc>
      </w:tr>
      <w:tr>
        <w:tc>
          <w:tcPr>
            <w:tcW w:type="dxa" w:w="2268"/>
            <w:shd w:fill="F0F4F8"/>
          </w:tcPr>
          <w:p>
            <w:r/>
            <w:r>
              <w:rPr>
                <w:rFonts w:ascii="Calibri" w:hAnsi="Calibri"/>
                <w:color w:val="1F2937"/>
                <w:sz w:val="20"/>
              </w:rPr>
              <w:t>MoC → E2</w:t>
            </w:r>
          </w:p>
        </w:tc>
        <w:tc>
          <w:tcPr>
            <w:tcW w:type="dxa" w:w="7370"/>
            <w:shd w:fill="F0F4F8"/>
          </w:tcPr>
          <w:p>
            <w:r/>
            <w:r>
              <w:rPr>
                <w:rFonts w:ascii="Calibri" w:hAnsi="Calibri"/>
                <w:color w:val="1F2937"/>
                <w:sz w:val="20"/>
              </w:rPr>
              <w:t>MoC-rapporten voeden de risicoregistratie en gevarendatabase</w:t>
            </w:r>
          </w:p>
        </w:tc>
      </w:tr>
      <w:tr>
        <w:tc>
          <w:tcPr>
            <w:tcW w:type="dxa" w:w="2268"/>
          </w:tcPr>
          <w:p>
            <w:r/>
            <w:r>
              <w:rPr>
                <w:rFonts w:ascii="Calibri" w:hAnsi="Calibri"/>
                <w:color w:val="1F2937"/>
                <w:sz w:val="20"/>
              </w:rPr>
              <w:t>MoC → E3</w:t>
            </w:r>
          </w:p>
        </w:tc>
        <w:tc>
          <w:tcPr>
            <w:tcW w:type="dxa" w:w="7370"/>
          </w:tcPr>
          <w:p>
            <w:r/>
            <w:r>
              <w:rPr>
                <w:rFonts w:ascii="Calibri" w:hAnsi="Calibri"/>
                <w:color w:val="1F2937"/>
                <w:sz w:val="20"/>
              </w:rPr>
              <w:t>Goedgekeurde MoC leidt tot werkvergunningen en PSSR</w:t>
            </w:r>
          </w:p>
        </w:tc>
      </w:tr>
      <w:tr>
        <w:tc>
          <w:tcPr>
            <w:tcW w:type="dxa" w:w="2268"/>
            <w:shd w:fill="F0F4F8"/>
          </w:tcPr>
          <w:p>
            <w:r/>
            <w:r>
              <w:rPr>
                <w:rFonts w:ascii="Calibri" w:hAnsi="Calibri"/>
                <w:color w:val="1F2937"/>
                <w:sz w:val="20"/>
              </w:rPr>
              <w:t>MoC → E4</w:t>
            </w:r>
          </w:p>
        </w:tc>
        <w:tc>
          <w:tcPr>
            <w:tcW w:type="dxa" w:w="7370"/>
            <w:shd w:fill="F0F4F8"/>
          </w:tcPr>
          <w:p>
            <w:r/>
            <w:r>
              <w:rPr>
                <w:rFonts w:ascii="Calibri" w:hAnsi="Calibri"/>
                <w:color w:val="1F2937"/>
                <w:sz w:val="20"/>
              </w:rPr>
              <w:t>Wijzigingen aan noodsystemen activeren actualisatie noodplan</w:t>
            </w:r>
          </w:p>
        </w:tc>
      </w:tr>
      <w:tr>
        <w:tc>
          <w:tcPr>
            <w:tcW w:type="dxa" w:w="2268"/>
          </w:tcPr>
          <w:p>
            <w:r/>
            <w:r>
              <w:rPr>
                <w:rFonts w:ascii="Calibri" w:hAnsi="Calibri"/>
                <w:color w:val="1F2937"/>
                <w:sz w:val="20"/>
              </w:rPr>
              <w:t>E2 → MoC</w:t>
            </w:r>
          </w:p>
        </w:tc>
        <w:tc>
          <w:tcPr>
            <w:tcW w:type="dxa" w:w="7370"/>
          </w:tcPr>
          <w:p>
            <w:r/>
            <w:r>
              <w:rPr>
                <w:rFonts w:ascii="Calibri" w:hAnsi="Calibri"/>
                <w:color w:val="1F2937"/>
                <w:sz w:val="20"/>
              </w:rPr>
              <w:t>HAZOP-bevindingen kunnen MoC-aanvragen triggeren</w:t>
            </w:r>
          </w:p>
        </w:tc>
      </w:tr>
      <w:tr>
        <w:tc>
          <w:tcPr>
            <w:tcW w:type="dxa" w:w="2268"/>
            <w:shd w:fill="F0F4F8"/>
          </w:tcPr>
          <w:p>
            <w:r/>
            <w:r>
              <w:rPr>
                <w:rFonts w:ascii="Calibri" w:hAnsi="Calibri"/>
                <w:color w:val="1F2937"/>
                <w:sz w:val="20"/>
              </w:rPr>
              <w:t>E3 → MoC</w:t>
            </w:r>
          </w:p>
        </w:tc>
        <w:tc>
          <w:tcPr>
            <w:tcW w:type="dxa" w:w="7370"/>
            <w:shd w:fill="F0F4F8"/>
          </w:tcPr>
          <w:p>
            <w:r/>
            <w:r>
              <w:rPr>
                <w:rFonts w:ascii="Calibri" w:hAnsi="Calibri"/>
                <w:color w:val="1F2937"/>
                <w:sz w:val="20"/>
              </w:rPr>
              <w:t>Inspectiebevindingen en incidenten kunnen MoC vereisen</w:t>
            </w:r>
          </w:p>
        </w:tc>
      </w:tr>
      <w:tr>
        <w:tc>
          <w:tcPr>
            <w:tcW w:type="dxa" w:w="2268"/>
          </w:tcPr>
          <w:p>
            <w:r/>
            <w:r>
              <w:rPr>
                <w:rFonts w:ascii="Calibri" w:hAnsi="Calibri"/>
                <w:color w:val="1F2937"/>
                <w:sz w:val="20"/>
              </w:rPr>
              <w:t>E4 → MoC</w:t>
            </w:r>
          </w:p>
        </w:tc>
        <w:tc>
          <w:tcPr>
            <w:tcW w:type="dxa" w:w="7370"/>
          </w:tcPr>
          <w:p>
            <w:r/>
            <w:r>
              <w:rPr>
                <w:rFonts w:ascii="Calibri" w:hAnsi="Calibri"/>
                <w:color w:val="1F2937"/>
                <w:sz w:val="20"/>
              </w:rPr>
              <w:t>Oefenresultaten kunnen aanleiding zijn voor MoC</w:t>
            </w:r>
          </w:p>
        </w:tc>
      </w:tr>
    </w:tbl>
    <w:p>
      <w:r>
        <w:br w:type="page"/>
      </w:r>
    </w:p>
    <w:p>
      <w:pPr>
        <w:pStyle w:val="Heading1"/>
      </w:pPr>
      <w:r>
        <w:t>7. Beleidsverantwoordelijkheden</w:t>
      </w:r>
    </w:p>
    <w:p>
      <w:pPr>
        <w:pStyle w:val="Heading2"/>
      </w:pPr>
      <w:r>
        <w:t>7.1 Directie</w:t>
      </w:r>
    </w:p>
    <w:p>
      <w:pPr>
        <w:spacing w:after="120"/>
      </w:pPr>
      <w:r>
        <w:rPr>
          <w:rFonts w:ascii="Calibri" w:hAnsi="Calibri"/>
          <w:b w:val="0"/>
          <w:color w:val="1F2937"/>
          <w:sz w:val="22"/>
        </w:rPr>
        <w:t>De directie van Phoenix Metals draagt de eindverantwoordelijkheid voor het MoC-beleid en het functioneren van het MoC-systeem. Specifieke verantwoordelijkheden:</w:t>
      </w:r>
    </w:p>
    <w:p>
      <w:pPr>
        <w:pStyle w:val="ListBullet"/>
      </w:pPr>
      <w:r>
        <w:rPr>
          <w:sz w:val="22"/>
        </w:rPr>
        <w:t>Goedkeuring van het MoC-beleid en jaarlijkse beoordeling van de adequate werking.</w:t>
      </w:r>
    </w:p>
    <w:p>
      <w:pPr>
        <w:pStyle w:val="ListBullet"/>
      </w:pPr>
      <w:r>
        <w:rPr>
          <w:sz w:val="22"/>
        </w:rPr>
        <w:t>Toewijzing van voldoende middelen (personeel, budget, tijd) voor het MoC-proces.</w:t>
      </w:r>
    </w:p>
    <w:p>
      <w:pPr>
        <w:pStyle w:val="ListBullet"/>
      </w:pPr>
      <w:r>
        <w:rPr>
          <w:sz w:val="22"/>
        </w:rPr>
        <w:t>Goedkeuring van MoC-aanvragen die geclassificeerd zijn als hoog-risico (risicoklasse ≥ 3 op de risicomatrix).</w:t>
      </w:r>
    </w:p>
    <w:p>
      <w:pPr>
        <w:pStyle w:val="ListBullet"/>
      </w:pPr>
      <w:r>
        <w:rPr>
          <w:sz w:val="22"/>
        </w:rPr>
        <w:t>Zichtbaar leiderschap en communicatie over het belang van MoC.</w:t>
      </w:r>
    </w:p>
    <w:p>
      <w:pPr>
        <w:pStyle w:val="Heading2"/>
      </w:pPr>
      <w:r>
        <w:t>7.2 MoC-coördinator (HSE Manager)</w:t>
      </w:r>
    </w:p>
    <w:p>
      <w:pPr>
        <w:spacing w:after="120"/>
      </w:pPr>
      <w:r>
        <w:rPr>
          <w:rFonts w:ascii="Calibri" w:hAnsi="Calibri"/>
          <w:b w:val="0"/>
          <w:color w:val="1F2937"/>
          <w:sz w:val="22"/>
        </w:rPr>
        <w:t>De MoC-coördinator is de operationele eigenaar van het MoC-proces. Deze rol wordt vervuld door de HSE Manager. Verantwoordelijkheden:</w:t>
      </w:r>
    </w:p>
    <w:p>
      <w:pPr>
        <w:pStyle w:val="ListBullet"/>
      </w:pPr>
      <w:r>
        <w:rPr>
          <w:sz w:val="22"/>
        </w:rPr>
        <w:t>Ontvangen en screenen van alle MoC-aanmeldingen.</w:t>
      </w:r>
    </w:p>
    <w:p>
      <w:pPr>
        <w:pStyle w:val="ListBullet"/>
      </w:pPr>
      <w:r>
        <w:rPr>
          <w:sz w:val="22"/>
        </w:rPr>
        <w:t>Beoordelen of een aanmelding MoC-waardig is (of een RiF).</w:t>
      </w:r>
    </w:p>
    <w:p>
      <w:pPr>
        <w:pStyle w:val="ListBullet"/>
      </w:pPr>
      <w:r>
        <w:rPr>
          <w:sz w:val="22"/>
        </w:rPr>
        <w:t>Selecteren en samenstellen van het MoC-team per aanvraag.</w:t>
      </w:r>
    </w:p>
    <w:p>
      <w:pPr>
        <w:pStyle w:val="ListBullet"/>
      </w:pPr>
      <w:r>
        <w:rPr>
          <w:sz w:val="22"/>
        </w:rPr>
        <w:t>Bewaken van voortgang en doorlooptijden van lopende MoC-trajecten.</w:t>
      </w:r>
    </w:p>
    <w:p>
      <w:pPr>
        <w:pStyle w:val="ListBullet"/>
      </w:pPr>
      <w:r>
        <w:rPr>
          <w:sz w:val="22"/>
        </w:rPr>
        <w:t>Beheren van het MoC-register en archief.</w:t>
      </w:r>
    </w:p>
    <w:p>
      <w:pPr>
        <w:pStyle w:val="ListBullet"/>
      </w:pPr>
      <w:r>
        <w:rPr>
          <w:sz w:val="22"/>
        </w:rPr>
        <w:t>Rapporteren over MoC-KPI's aan directie (frequentie: maandelijks).</w:t>
      </w:r>
    </w:p>
    <w:p>
      <w:pPr>
        <w:pStyle w:val="ListBullet"/>
      </w:pPr>
      <w:r>
        <w:rPr>
          <w:sz w:val="22"/>
        </w:rPr>
        <w:t>Initiëren van evaluaties na implementatie.</w:t>
      </w:r>
    </w:p>
    <w:p>
      <w:pPr>
        <w:pStyle w:val="ListBullet"/>
      </w:pPr>
      <w:r>
        <w:rPr>
          <w:sz w:val="22"/>
        </w:rPr>
        <w:t>Verzorgen van MoC-training en -instructie.</w:t>
      </w:r>
    </w:p>
    <w:p>
      <w:pPr>
        <w:pStyle w:val="Heading2"/>
      </w:pPr>
      <w:r>
        <w:t>7.3 MoC-team</w:t>
      </w:r>
    </w:p>
    <w:p>
      <w:pPr>
        <w:spacing w:after="120"/>
      </w:pPr>
      <w:r>
        <w:rPr>
          <w:rFonts w:ascii="Calibri" w:hAnsi="Calibri"/>
          <w:b w:val="0"/>
          <w:color w:val="1F2937"/>
          <w:sz w:val="22"/>
        </w:rPr>
        <w:t>Het MoC-team voert de technische inhoudelijke beoordeling uit van elke MoC-aanvraag. Het team bestaat minimaal uit vertegenwoordigers van HSE, Operations en Maintenance. Verantwoordelijkheden:</w:t>
      </w:r>
    </w:p>
    <w:p>
      <w:pPr>
        <w:pStyle w:val="ListBullet"/>
      </w:pPr>
      <w:r>
        <w:rPr>
          <w:sz w:val="22"/>
        </w:rPr>
        <w:t>Uitvoeren van de risicobeoordeling conform de methodiek van VBS Element II.</w:t>
      </w:r>
    </w:p>
    <w:p>
      <w:pPr>
        <w:pStyle w:val="ListBullet"/>
      </w:pPr>
      <w:r>
        <w:rPr>
          <w:sz w:val="22"/>
        </w:rPr>
        <w:t>Beoordelen van de voorgestelde risicobeheersmaatregelen op adequate werking.</w:t>
      </w:r>
    </w:p>
    <w:p>
      <w:pPr>
        <w:pStyle w:val="ListBullet"/>
      </w:pPr>
      <w:r>
        <w:rPr>
          <w:sz w:val="22"/>
        </w:rPr>
        <w:t>Aanbevelen van aanvullende maatregelen indien het residueel risico buiten de acceptatiecriteria valt.</w:t>
      </w:r>
    </w:p>
    <w:p>
      <w:pPr>
        <w:pStyle w:val="ListBullet"/>
      </w:pPr>
      <w:r>
        <w:rPr>
          <w:sz w:val="22"/>
        </w:rPr>
        <w:t>Advies uitbrengen aan de goedkeuringsbevoegde over goedkeuring, afwijzing of nadere studie.</w:t>
      </w:r>
    </w:p>
    <w:p>
      <w:pPr>
        <w:pStyle w:val="ListBullet"/>
      </w:pPr>
      <w:r>
        <w:rPr>
          <w:sz w:val="22"/>
        </w:rPr>
        <w:t>Deelnemen aan de evaluatie na implementatie.</w:t>
      </w:r>
    </w:p>
    <w:p>
      <w:pPr>
        <w:pStyle w:val="Heading2"/>
      </w:pPr>
      <w:r>
        <w:t>7.4 Aanvrager</w:t>
      </w:r>
    </w:p>
    <w:p>
      <w:pPr>
        <w:spacing w:after="120"/>
      </w:pPr>
      <w:r>
        <w:rPr>
          <w:rFonts w:ascii="Calibri" w:hAnsi="Calibri"/>
          <w:b w:val="0"/>
          <w:color w:val="1F2937"/>
          <w:sz w:val="22"/>
        </w:rPr>
        <w:t>De aanvrager is de initiator van de MoC-aanvraag. Dit kan elke medewerker zijn (zie paragraaf 4.3). Verantwoordelijkheden:</w:t>
      </w:r>
    </w:p>
    <w:p>
      <w:pPr>
        <w:pStyle w:val="ListBullet"/>
      </w:pPr>
      <w:r>
        <w:rPr>
          <w:sz w:val="22"/>
        </w:rPr>
        <w:t>Compleet en accuraat invullen van het MoC-aanvraagformulier.</w:t>
      </w:r>
    </w:p>
    <w:p>
      <w:pPr>
        <w:pStyle w:val="ListBullet"/>
      </w:pPr>
      <w:r>
        <w:rPr>
          <w:sz w:val="22"/>
        </w:rPr>
        <w:t>Aanleveren van relevante technische documentatie (tekeningen, specificaties, berekeningen).</w:t>
      </w:r>
    </w:p>
    <w:p>
      <w:pPr>
        <w:pStyle w:val="ListBullet"/>
      </w:pPr>
      <w:r>
        <w:rPr>
          <w:sz w:val="22"/>
        </w:rPr>
        <w:t>Beschrijven van de voorgestelde wijziging, de reden en het doel.</w:t>
      </w:r>
    </w:p>
    <w:p>
      <w:pPr>
        <w:pStyle w:val="ListBullet"/>
      </w:pPr>
      <w:r>
        <w:rPr>
          <w:sz w:val="22"/>
        </w:rPr>
        <w:t>Meewerken aan de risicobeoordeling door operationele context te bieden.</w:t>
      </w:r>
    </w:p>
    <w:p>
      <w:pPr>
        <w:pStyle w:val="ListBullet"/>
      </w:pPr>
      <w:r>
        <w:rPr>
          <w:sz w:val="22"/>
        </w:rPr>
        <w:t>Implementeren van de goedgekeurde wijziging conform de vastgestelde maatregelen.</w:t>
      </w:r>
    </w:p>
    <w:p>
      <w:pPr>
        <w:pStyle w:val="Heading2"/>
      </w:pPr>
      <w:r>
        <w:t>7.5 Operationeel management</w:t>
      </w:r>
    </w:p>
    <w:p>
      <w:pPr>
        <w:spacing w:after="120"/>
      </w:pPr>
      <w:r>
        <w:rPr>
          <w:rFonts w:ascii="Calibri" w:hAnsi="Calibri"/>
          <w:b w:val="0"/>
          <w:color w:val="1F2937"/>
          <w:sz w:val="22"/>
        </w:rPr>
        <w:t>Operationeel management (shiftleiders, teamleiders, afdelingshoofden) heeft de volgende verantwoordelijkheden binnen het MoC-proces:</w:t>
      </w:r>
    </w:p>
    <w:p>
      <w:pPr>
        <w:pStyle w:val="ListBullet"/>
      </w:pPr>
      <w:r>
        <w:rPr>
          <w:sz w:val="22"/>
        </w:rPr>
        <w:t>Signalen van medewerkers over potentiële wijzigingen doorgeleid naar de MoC-coördinator.</w:t>
      </w:r>
    </w:p>
    <w:p>
      <w:pPr>
        <w:pStyle w:val="ListBullet"/>
      </w:pPr>
      <w:r>
        <w:rPr>
          <w:sz w:val="22"/>
        </w:rPr>
        <w:t>Zorgen dat medewerkers binnen hun afdeling bekend zijn met het MoC-beleid.</w:t>
      </w:r>
    </w:p>
    <w:p>
      <w:pPr>
        <w:pStyle w:val="ListBullet"/>
      </w:pPr>
      <w:r>
        <w:rPr>
          <w:sz w:val="22"/>
        </w:rPr>
        <w:t>Goedkeuring van MoC-aanvragen met risicoklasse 1 en 2 (gedelegeerd mandaat).</w:t>
      </w:r>
    </w:p>
    <w:p>
      <w:pPr>
        <w:pStyle w:val="ListBullet"/>
      </w:pPr>
      <w:r>
        <w:rPr>
          <w:sz w:val="22"/>
        </w:rPr>
        <w:t>Toezien op correcte implementatie van goedgekeurde wijzigingen binnen hun afdeling.</w:t>
      </w:r>
    </w:p>
    <w:p>
      <w:pPr>
        <w:pStyle w:val="ListBullet"/>
      </w:pPr>
      <w:r>
        <w:rPr>
          <w:sz w:val="22"/>
        </w:rPr>
        <w:t>Melden van afwijkingen bij de implementatie aan de MoC-coördinator.</w:t>
      </w:r>
    </w:p>
    <w:p>
      <w:pPr>
        <w:pStyle w:val="Heading2"/>
      </w:pPr>
      <w:r>
        <w:t>7.6 Samenvattende verantwoordelijkhedenmatrix</w:t>
      </w:r>
    </w:p>
    <w:tbl>
      <w:tblPr>
        <w:tblStyle w:val="TableGrid"/>
        <w:tblW w:type="auto" w:w="0"/>
        <w:jc w:val="center"/>
        <w:tblLook w:firstColumn="1" w:firstRow="1" w:lastColumn="0" w:lastRow="0" w:noHBand="0" w:noVBand="1" w:val="04A0"/>
      </w:tblPr>
      <w:tblGrid>
        <w:gridCol w:w="4703"/>
        <w:gridCol w:w="4703"/>
      </w:tblGrid>
      <w:tr>
        <w:tc>
          <w:tcPr>
            <w:tcW w:type="dxa" w:w="2835"/>
            <w:shd w:fill="003366"/>
          </w:tcPr>
          <w:p>
            <w:r/>
            <w:r>
              <w:rPr>
                <w:rFonts w:ascii="Calibri" w:hAnsi="Calibri"/>
                <w:b/>
                <w:color w:val="FFFFFF"/>
                <w:sz w:val="20"/>
              </w:rPr>
              <w:t>Rol</w:t>
            </w:r>
          </w:p>
        </w:tc>
        <w:tc>
          <w:tcPr>
            <w:tcW w:type="dxa" w:w="6803"/>
            <w:shd w:fill="003366"/>
          </w:tcPr>
          <w:p>
            <w:r/>
            <w:r>
              <w:rPr>
                <w:rFonts w:ascii="Calibri" w:hAnsi="Calibri"/>
                <w:b/>
                <w:color w:val="FFFFFF"/>
                <w:sz w:val="20"/>
              </w:rPr>
              <w:t>Kernverantwoordelijkheden</w:t>
            </w:r>
          </w:p>
        </w:tc>
      </w:tr>
      <w:tr>
        <w:tc>
          <w:tcPr>
            <w:tcW w:type="dxa" w:w="2835"/>
          </w:tcPr>
          <w:p>
            <w:r/>
            <w:r>
              <w:rPr>
                <w:rFonts w:ascii="Calibri" w:hAnsi="Calibri"/>
                <w:color w:val="1F2937"/>
                <w:sz w:val="20"/>
              </w:rPr>
              <w:t>Directie</w:t>
            </w:r>
          </w:p>
        </w:tc>
        <w:tc>
          <w:tcPr>
            <w:tcW w:type="dxa" w:w="6803"/>
          </w:tcPr>
          <w:p>
            <w:r/>
            <w:r>
              <w:rPr>
                <w:rFonts w:ascii="Calibri" w:hAnsi="Calibri"/>
                <w:color w:val="1F2937"/>
                <w:sz w:val="20"/>
              </w:rPr>
              <w:t>Eindverantwoordelijkheid, goedkeuring hoog-risico, middelentoewijzing</w:t>
            </w:r>
          </w:p>
        </w:tc>
      </w:tr>
      <w:tr>
        <w:tc>
          <w:tcPr>
            <w:tcW w:type="dxa" w:w="2835"/>
            <w:shd w:fill="F0F4F8"/>
          </w:tcPr>
          <w:p>
            <w:r/>
            <w:r>
              <w:rPr>
                <w:rFonts w:ascii="Calibri" w:hAnsi="Calibri"/>
                <w:color w:val="1F2937"/>
                <w:sz w:val="20"/>
              </w:rPr>
              <w:t>MoC-coördinator</w:t>
            </w:r>
          </w:p>
        </w:tc>
        <w:tc>
          <w:tcPr>
            <w:tcW w:type="dxa" w:w="6803"/>
            <w:shd w:fill="F0F4F8"/>
          </w:tcPr>
          <w:p>
            <w:r/>
            <w:r>
              <w:rPr>
                <w:rFonts w:ascii="Calibri" w:hAnsi="Calibri"/>
                <w:color w:val="1F2937"/>
                <w:sz w:val="20"/>
              </w:rPr>
              <w:t>Proceseigenaar, screening, team-samenstelling, register, KPI's</w:t>
            </w:r>
          </w:p>
        </w:tc>
      </w:tr>
      <w:tr>
        <w:tc>
          <w:tcPr>
            <w:tcW w:type="dxa" w:w="2835"/>
          </w:tcPr>
          <w:p>
            <w:r/>
            <w:r>
              <w:rPr>
                <w:rFonts w:ascii="Calibri" w:hAnsi="Calibri"/>
                <w:color w:val="1F2937"/>
                <w:sz w:val="20"/>
              </w:rPr>
              <w:t>MoC-team</w:t>
            </w:r>
          </w:p>
        </w:tc>
        <w:tc>
          <w:tcPr>
            <w:tcW w:type="dxa" w:w="6803"/>
          </w:tcPr>
          <w:p>
            <w:r/>
            <w:r>
              <w:rPr>
                <w:rFonts w:ascii="Calibri" w:hAnsi="Calibri"/>
                <w:color w:val="1F2937"/>
                <w:sz w:val="20"/>
              </w:rPr>
              <w:t>Risicobeoordeling, advies, evaluatie</w:t>
            </w:r>
          </w:p>
        </w:tc>
      </w:tr>
      <w:tr>
        <w:tc>
          <w:tcPr>
            <w:tcW w:type="dxa" w:w="2835"/>
            <w:shd w:fill="F0F4F8"/>
          </w:tcPr>
          <w:p>
            <w:r/>
            <w:r>
              <w:rPr>
                <w:rFonts w:ascii="Calibri" w:hAnsi="Calibri"/>
                <w:color w:val="1F2937"/>
                <w:sz w:val="20"/>
              </w:rPr>
              <w:t>Aanvrager</w:t>
            </w:r>
          </w:p>
        </w:tc>
        <w:tc>
          <w:tcPr>
            <w:tcW w:type="dxa" w:w="6803"/>
            <w:shd w:fill="F0F4F8"/>
          </w:tcPr>
          <w:p>
            <w:r/>
            <w:r>
              <w:rPr>
                <w:rFonts w:ascii="Calibri" w:hAnsi="Calibri"/>
                <w:color w:val="1F2937"/>
                <w:sz w:val="20"/>
              </w:rPr>
              <w:t>Initiatie, documentatie, implementatie</w:t>
            </w:r>
          </w:p>
        </w:tc>
      </w:tr>
      <w:tr>
        <w:tc>
          <w:tcPr>
            <w:tcW w:type="dxa" w:w="2835"/>
          </w:tcPr>
          <w:p>
            <w:r/>
            <w:r>
              <w:rPr>
                <w:rFonts w:ascii="Calibri" w:hAnsi="Calibri"/>
                <w:color w:val="1F2937"/>
                <w:sz w:val="20"/>
              </w:rPr>
              <w:t>Operationeel management</w:t>
            </w:r>
          </w:p>
        </w:tc>
        <w:tc>
          <w:tcPr>
            <w:tcW w:type="dxa" w:w="6803"/>
          </w:tcPr>
          <w:p>
            <w:r/>
            <w:r>
              <w:rPr>
                <w:rFonts w:ascii="Calibri" w:hAnsi="Calibri"/>
                <w:color w:val="1F2937"/>
                <w:sz w:val="20"/>
              </w:rPr>
              <w:t>Signalering, goedkeuring laag-risico, toezicht implementatie</w:t>
            </w:r>
          </w:p>
        </w:tc>
      </w:tr>
    </w:tbl>
    <w:p>
      <w:r>
        <w:br w:type="page"/>
      </w:r>
    </w:p>
    <w:p>
      <w:pPr>
        <w:pStyle w:val="Heading1"/>
      </w:pPr>
      <w:r>
        <w:t>Bronnenlijst</w:t>
      </w:r>
    </w:p>
    <w:p>
      <w:pPr>
        <w:spacing w:after="80"/>
      </w:pPr>
      <w:r>
        <w:rPr>
          <w:rFonts w:ascii="Calibri" w:hAnsi="Calibri"/>
          <w:sz w:val="20"/>
        </w:rPr>
        <w:t>[1] Health and Safety Executive (HSE), "The Explosions at the Texaco Oil Refinery, Milford Haven, 24 July 1994", HSE Books, 1997.</w:t>
      </w:r>
    </w:p>
    <w:p>
      <w:pPr>
        <w:spacing w:after="80"/>
      </w:pPr>
      <w:r>
        <w:rPr>
          <w:rFonts w:ascii="Calibri" w:hAnsi="Calibri"/>
          <w:sz w:val="20"/>
        </w:rPr>
        <w:t>[2] Europese Unie, Richtlijn 2012/18/EU van het Europees Parlement en de Raad inzake de beheersing van gevaren voor zware ongevallen waarbij gevaarlijke stoffen betrokken zijn (Seveso III), Publicatieblad van de Europese Unie, L 197/1, 24 juli 2012.</w:t>
      </w:r>
    </w:p>
    <w:p>
      <w:pPr>
        <w:spacing w:after="80"/>
      </w:pPr>
      <w:r>
        <w:rPr>
          <w:rFonts w:ascii="Calibri" w:hAnsi="Calibri"/>
          <w:sz w:val="20"/>
        </w:rPr>
        <w:t>[3] Besluit risico's zware ongevallen (BRZO 1999), Staatsblad van het Koninkrijk der Nederlanden, 1999, 369, laatstelijk gewijzigd bij Stb. 2015, 380.</w:t>
      </w:r>
    </w:p>
    <w:p>
      <w:pPr>
        <w:spacing w:after="80"/>
      </w:pPr>
      <w:r>
        <w:rPr>
          <w:rFonts w:ascii="Calibri" w:hAnsi="Calibri"/>
          <w:sz w:val="20"/>
        </w:rPr>
        <w:t>[4] Ministerie van Infrastructuur en Milieu / Ministerie van Sociale Zaken en Werkgelegenheid, "Handreiking VeiligheidsBeheerSysteem (VBS) voor BRZO-bedrijven", 2015.</w:t>
      </w:r>
    </w:p>
    <w:p>
      <w:pPr>
        <w:spacing w:after="80"/>
      </w:pPr>
      <w:r>
        <w:rPr>
          <w:rFonts w:ascii="Calibri" w:hAnsi="Calibri"/>
          <w:sz w:val="20"/>
        </w:rPr>
        <w:t>[5] ISO 45001:2018, "Occupational health and safety management systems — Requirements with guidance for use", International Organization for Standardization, 2018, art. 8.1.3.</w:t>
      </w:r>
    </w:p>
    <w:p>
      <w:pPr>
        <w:spacing w:after="80"/>
      </w:pPr>
      <w:r>
        <w:rPr>
          <w:rFonts w:ascii="Calibri" w:hAnsi="Calibri"/>
          <w:sz w:val="20"/>
        </w:rPr>
        <w:t>[6] ISO 14001:2015, "Environmental management systems — Requirements with guidance for use", International Organization for Standardization, 2015, art. 8.1.</w:t>
      </w:r>
    </w:p>
    <w:p>
      <w:pPr>
        <w:spacing w:after="80"/>
      </w:pPr>
      <w:r>
        <w:rPr>
          <w:rFonts w:ascii="Calibri" w:hAnsi="Calibri"/>
          <w:sz w:val="20"/>
        </w:rPr>
        <w:t>[7] Health and Safety Executive (HSE), "Control of Major Accident Hazards Regulations 2015 (COMAH): Guidance on the scope of and exemptions from the COMAH Regulations", L 111, HSE Books, 2015.</w:t>
      </w:r>
    </w:p>
    <w:p>
      <w:pPr>
        <w:spacing w:after="80"/>
      </w:pPr>
      <w:r>
        <w:rPr>
          <w:rFonts w:ascii="Calibri" w:hAnsi="Calibri"/>
          <w:sz w:val="20"/>
        </w:rPr>
        <w:t>[8] Center for Chemical Process Safety (CCPS), "Guidelines for the Management of Change for Process Safety", American Institute of Chemical Engineers (AIChE), 2008.</w:t>
      </w:r>
    </w:p>
    <w:p>
      <w:r>
        <w:br w:type="page"/>
      </w:r>
    </w:p>
    <w:p>
      <w:pPr>
        <w:pStyle w:val="Heading1"/>
      </w:pPr>
      <w:r>
        <w:t>TierVerify Log</w:t>
      </w:r>
    </w:p>
    <w:p>
      <w:pPr>
        <w:spacing w:after="120"/>
      </w:pPr>
      <w:r>
        <w:rPr>
          <w:rFonts w:ascii="Calibri" w:hAnsi="Calibri"/>
          <w:b w:val="0"/>
          <w:color w:val="1F2937"/>
          <w:sz w:val="22"/>
        </w:rPr>
        <w:t>Document: PM_VBS05_01 — MoC Beleid &amp; Kaderdocument v1.0</w:t>
      </w:r>
    </w:p>
    <w:p>
      <w:pPr>
        <w:spacing w:after="120"/>
      </w:pPr>
      <w:r>
        <w:rPr>
          <w:rFonts w:ascii="Calibri" w:hAnsi="Calibri"/>
          <w:b w:val="0"/>
          <w:color w:val="1F2937"/>
          <w:sz w:val="22"/>
        </w:rPr>
        <w:t>Verificatiedatum: 29 april 2026</w:t>
      </w:r>
    </w:p>
    <w:p>
      <w:pPr>
        <w:spacing w:after="120"/>
      </w:pPr>
      <w:r>
        <w:rPr>
          <w:rFonts w:ascii="Calibri" w:hAnsi="Calibri"/>
          <w:b w:val="0"/>
          <w:color w:val="1F2937"/>
          <w:sz w:val="22"/>
        </w:rPr>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tcPr>
          <w:p>
            <w:r/>
            <w:r>
              <w:rPr>
                <w:rFonts w:ascii="Calibri" w:hAnsi="Calibri"/>
                <w:b/>
                <w:color w:val="FFFFFF"/>
                <w:sz w:val="20"/>
              </w:rPr>
              <w:t>Check</w:t>
            </w:r>
          </w:p>
        </w:tc>
        <w:tc>
          <w:tcPr>
            <w:tcW w:type="dxa" w:w="3402"/>
            <w:shd w:fill="003366"/>
          </w:tcPr>
          <w:p>
            <w:r/>
            <w:r>
              <w:rPr>
                <w:rFonts w:ascii="Calibri" w:hAnsi="Calibri"/>
                <w:b/>
                <w:color w:val="FFFFFF"/>
                <w:sz w:val="20"/>
              </w:rPr>
              <w:t>Onderwerp</w:t>
            </w:r>
          </w:p>
        </w:tc>
        <w:tc>
          <w:tcPr>
            <w:tcW w:type="dxa" w:w="2835"/>
            <w:shd w:fill="003366"/>
          </w:tcPr>
          <w:p>
            <w:r/>
            <w:r>
              <w:rPr>
                <w:rFonts w:ascii="Calibri" w:hAnsi="Calibri"/>
                <w:b/>
                <w:color w:val="FFFFFF"/>
                <w:sz w:val="20"/>
              </w:rPr>
              <w:t>Bron</w:t>
            </w:r>
          </w:p>
        </w:tc>
        <w:tc>
          <w:tcPr>
            <w:tcW w:type="dxa" w:w="1701"/>
            <w:shd w:fill="003366"/>
          </w:tcPr>
          <w:p>
            <w:r/>
            <w:r>
              <w:rPr>
                <w:rFonts w:ascii="Calibri" w:hAnsi="Calibri"/>
                <w:b/>
                <w:color w:val="FFFFFF"/>
                <w:sz w:val="20"/>
              </w:rPr>
              <w:t>Status</w:t>
            </w:r>
          </w:p>
        </w:tc>
      </w:tr>
      <w:tr>
        <w:tc>
          <w:tcPr>
            <w:tcW w:type="dxa" w:w="850"/>
          </w:tcPr>
          <w:p>
            <w:r/>
            <w:r>
              <w:rPr>
                <w:rFonts w:ascii="Calibri" w:hAnsi="Calibri"/>
                <w:color w:val="1F2937"/>
                <w:sz w:val="20"/>
              </w:rPr>
              <w:t>V1</w:t>
            </w:r>
          </w:p>
        </w:tc>
        <w:tc>
          <w:tcPr>
            <w:tcW w:type="dxa" w:w="3402"/>
          </w:tcPr>
          <w:p>
            <w:r/>
            <w:r>
              <w:rPr>
                <w:rFonts w:ascii="Calibri" w:hAnsi="Calibri"/>
                <w:color w:val="1F2937"/>
                <w:sz w:val="20"/>
              </w:rPr>
              <w:t>Wettelijke basis Seveso III / BRZO 1999</w:t>
            </w:r>
          </w:p>
        </w:tc>
        <w:tc>
          <w:tcPr>
            <w:tcW w:type="dxa" w:w="2835"/>
          </w:tcPr>
          <w:p>
            <w:r/>
            <w:r>
              <w:rPr>
                <w:rFonts w:ascii="Calibri" w:hAnsi="Calibri"/>
                <w:color w:val="1F2937"/>
                <w:sz w:val="20"/>
              </w:rPr>
              <w:t>Art. 12 Seveso III; BRZO 1999 art. 5 lid 1 sub d</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V2</w:t>
            </w:r>
          </w:p>
        </w:tc>
        <w:tc>
          <w:tcPr>
            <w:tcW w:type="dxa" w:w="3402"/>
            <w:shd w:fill="F0F4F8"/>
          </w:tcPr>
          <w:p>
            <w:r/>
            <w:r>
              <w:rPr>
                <w:rFonts w:ascii="Calibri" w:hAnsi="Calibri"/>
                <w:color w:val="1F2937"/>
                <w:sz w:val="20"/>
              </w:rPr>
              <w:t>VBS Element IV eisen gedekt</w:t>
            </w:r>
          </w:p>
        </w:tc>
        <w:tc>
          <w:tcPr>
            <w:tcW w:type="dxa" w:w="2835"/>
            <w:shd w:fill="F0F4F8"/>
          </w:tcPr>
          <w:p>
            <w:r/>
            <w:r>
              <w:rPr>
                <w:rFonts w:ascii="Calibri" w:hAnsi="Calibri"/>
                <w:color w:val="1F2937"/>
                <w:sz w:val="20"/>
              </w:rPr>
              <w:t>VBS Handreiking Element IV</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V3</w:t>
            </w:r>
          </w:p>
        </w:tc>
        <w:tc>
          <w:tcPr>
            <w:tcW w:type="dxa" w:w="3402"/>
          </w:tcPr>
          <w:p>
            <w:r/>
            <w:r>
              <w:rPr>
                <w:rFonts w:ascii="Calibri" w:hAnsi="Calibri"/>
                <w:color w:val="1F2937"/>
                <w:sz w:val="20"/>
              </w:rPr>
              <w:t>ISO 45001:2018 art. 8.1.3 compliance</w:t>
            </w:r>
          </w:p>
        </w:tc>
        <w:tc>
          <w:tcPr>
            <w:tcW w:type="dxa" w:w="2835"/>
          </w:tcPr>
          <w:p>
            <w:r/>
            <w:r>
              <w:rPr>
                <w:rFonts w:ascii="Calibri" w:hAnsi="Calibri"/>
                <w:color w:val="1F2937"/>
                <w:sz w:val="20"/>
              </w:rPr>
              <w:t>ISO 45001:2018</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V4</w:t>
            </w:r>
          </w:p>
        </w:tc>
        <w:tc>
          <w:tcPr>
            <w:tcW w:type="dxa" w:w="3402"/>
            <w:shd w:fill="F0F4F8"/>
          </w:tcPr>
          <w:p>
            <w:r/>
            <w:r>
              <w:rPr>
                <w:rFonts w:ascii="Calibri" w:hAnsi="Calibri"/>
                <w:color w:val="1F2937"/>
                <w:sz w:val="20"/>
              </w:rPr>
              <w:t>ISO 14001:2015 art. 8.1 compliance</w:t>
            </w:r>
          </w:p>
        </w:tc>
        <w:tc>
          <w:tcPr>
            <w:tcW w:type="dxa" w:w="2835"/>
            <w:shd w:fill="F0F4F8"/>
          </w:tcPr>
          <w:p>
            <w:r/>
            <w:r>
              <w:rPr>
                <w:rFonts w:ascii="Calibri" w:hAnsi="Calibri"/>
                <w:color w:val="1F2937"/>
                <w:sz w:val="20"/>
              </w:rPr>
              <w:t>ISO 14001:2015</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V5</w:t>
            </w:r>
          </w:p>
        </w:tc>
        <w:tc>
          <w:tcPr>
            <w:tcW w:type="dxa" w:w="3402"/>
          </w:tcPr>
          <w:p>
            <w:r/>
            <w:r>
              <w:rPr>
                <w:rFonts w:ascii="Calibri" w:hAnsi="Calibri"/>
                <w:color w:val="1F2937"/>
                <w:sz w:val="20"/>
              </w:rPr>
              <w:t>CCPS MoC Guidelines referentie</w:t>
            </w:r>
          </w:p>
        </w:tc>
        <w:tc>
          <w:tcPr>
            <w:tcW w:type="dxa" w:w="2835"/>
          </w:tcPr>
          <w:p>
            <w:r/>
            <w:r>
              <w:rPr>
                <w:rFonts w:ascii="Calibri" w:hAnsi="Calibri"/>
                <w:color w:val="1F2937"/>
                <w:sz w:val="20"/>
              </w:rPr>
              <w:t>CCPS 2008</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V6</w:t>
            </w:r>
          </w:p>
        </w:tc>
        <w:tc>
          <w:tcPr>
            <w:tcW w:type="dxa" w:w="3402"/>
            <w:shd w:fill="F0F4F8"/>
          </w:tcPr>
          <w:p>
            <w:r/>
            <w:r>
              <w:rPr>
                <w:rFonts w:ascii="Calibri" w:hAnsi="Calibri"/>
                <w:color w:val="1F2937"/>
                <w:sz w:val="20"/>
              </w:rPr>
              <w:t>9 wijzigingstypen volledig gedekt</w:t>
            </w:r>
          </w:p>
        </w:tc>
        <w:tc>
          <w:tcPr>
            <w:tcW w:type="dxa" w:w="2835"/>
            <w:shd w:fill="F0F4F8"/>
          </w:tcPr>
          <w:p>
            <w:r/>
            <w:r>
              <w:rPr>
                <w:rFonts w:ascii="Calibri" w:hAnsi="Calibri"/>
                <w:color w:val="1F2937"/>
                <w:sz w:val="20"/>
              </w:rPr>
              <w:t>VBS Handreiking + CCPS</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V7</w:t>
            </w:r>
          </w:p>
        </w:tc>
        <w:tc>
          <w:tcPr>
            <w:tcW w:type="dxa" w:w="3402"/>
          </w:tcPr>
          <w:p>
            <w:r/>
            <w:r>
              <w:rPr>
                <w:rFonts w:ascii="Calibri" w:hAnsi="Calibri"/>
                <w:color w:val="1F2937"/>
                <w:sz w:val="20"/>
              </w:rPr>
              <w:t>Beleidsuitgangspunten conform BRZO</w:t>
            </w:r>
          </w:p>
        </w:tc>
        <w:tc>
          <w:tcPr>
            <w:tcW w:type="dxa" w:w="2835"/>
          </w:tcPr>
          <w:p>
            <w:r/>
            <w:r>
              <w:rPr>
                <w:rFonts w:ascii="Calibri" w:hAnsi="Calibri"/>
                <w:color w:val="1F2937"/>
                <w:sz w:val="20"/>
              </w:rPr>
              <w:t>BRZO 1999 + VBS</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V8</w:t>
            </w:r>
          </w:p>
        </w:tc>
        <w:tc>
          <w:tcPr>
            <w:tcW w:type="dxa" w:w="3402"/>
            <w:shd w:fill="F0F4F8"/>
          </w:tcPr>
          <w:p>
            <w:r/>
            <w:r>
              <w:rPr>
                <w:rFonts w:ascii="Calibri" w:hAnsi="Calibri"/>
                <w:color w:val="1F2937"/>
                <w:sz w:val="20"/>
              </w:rPr>
              <w:t>Rolverdeling conform VBS Element I</w:t>
            </w:r>
          </w:p>
        </w:tc>
        <w:tc>
          <w:tcPr>
            <w:tcW w:type="dxa" w:w="2835"/>
            <w:shd w:fill="F0F4F8"/>
          </w:tcPr>
          <w:p>
            <w:r/>
            <w:r>
              <w:rPr>
                <w:rFonts w:ascii="Calibri" w:hAnsi="Calibri"/>
                <w:color w:val="1F2937"/>
                <w:sz w:val="20"/>
              </w:rPr>
              <w:t>PM_VBS01 documenten</w:t>
            </w:r>
          </w:p>
        </w:tc>
        <w:tc>
          <w:tcPr>
            <w:tcW w:type="dxa" w:w="1701"/>
            <w:shd w:fill="F0F4F8"/>
          </w:tcPr>
          <w:p>
            <w:r/>
            <w:r>
              <w:rPr>
                <w:rFonts w:ascii="Calibri" w:hAnsi="Calibri"/>
                <w:color w:val="1F2937"/>
                <w:sz w:val="20"/>
              </w:rPr>
              <w:t>✅ Geverifieerd</w:t>
            </w:r>
          </w:p>
        </w:tc>
      </w:tr>
      <w:tr>
        <w:tc>
          <w:tcPr>
            <w:tcW w:type="dxa" w:w="850"/>
          </w:tcPr>
          <w:p>
            <w:r/>
            <w:r>
              <w:rPr>
                <w:rFonts w:ascii="Calibri" w:hAnsi="Calibri"/>
                <w:color w:val="1F2937"/>
                <w:sz w:val="20"/>
              </w:rPr>
              <w:t>V9</w:t>
            </w:r>
          </w:p>
        </w:tc>
        <w:tc>
          <w:tcPr>
            <w:tcW w:type="dxa" w:w="3402"/>
          </w:tcPr>
          <w:p>
            <w:r/>
            <w:r>
              <w:rPr>
                <w:rFonts w:ascii="Calibri" w:hAnsi="Calibri"/>
                <w:color w:val="1F2937"/>
                <w:sz w:val="20"/>
              </w:rPr>
              <w:t>Bronverwijzingen [1]-[8] traceerbaar</w:t>
            </w:r>
          </w:p>
        </w:tc>
        <w:tc>
          <w:tcPr>
            <w:tcW w:type="dxa" w:w="2835"/>
          </w:tcPr>
          <w:p>
            <w:r/>
            <w:r>
              <w:rPr>
                <w:rFonts w:ascii="Calibri" w:hAnsi="Calibri"/>
                <w:color w:val="1F2937"/>
                <w:sz w:val="20"/>
              </w:rPr>
              <w:t>Bronnenlijst</w:t>
            </w:r>
          </w:p>
        </w:tc>
        <w:tc>
          <w:tcPr>
            <w:tcW w:type="dxa" w:w="1701"/>
          </w:tcPr>
          <w:p>
            <w:r/>
            <w:r>
              <w:rPr>
                <w:rFonts w:ascii="Calibri" w:hAnsi="Calibri"/>
                <w:color w:val="1F2937"/>
                <w:sz w:val="20"/>
              </w:rPr>
              <w:t>✅ Geverifieerd</w:t>
            </w:r>
          </w:p>
        </w:tc>
      </w:tr>
      <w:tr>
        <w:tc>
          <w:tcPr>
            <w:tcW w:type="dxa" w:w="850"/>
            <w:shd w:fill="F0F4F8"/>
          </w:tcPr>
          <w:p>
            <w:r/>
            <w:r>
              <w:rPr>
                <w:rFonts w:ascii="Calibri" w:hAnsi="Calibri"/>
                <w:color w:val="1F2937"/>
                <w:sz w:val="20"/>
              </w:rPr>
              <w:t>V10</w:t>
            </w:r>
          </w:p>
        </w:tc>
        <w:tc>
          <w:tcPr>
            <w:tcW w:type="dxa" w:w="3402"/>
            <w:shd w:fill="F0F4F8"/>
          </w:tcPr>
          <w:p>
            <w:r/>
            <w:r>
              <w:rPr>
                <w:rFonts w:ascii="Calibri" w:hAnsi="Calibri"/>
                <w:color w:val="1F2937"/>
                <w:sz w:val="20"/>
              </w:rPr>
              <w:t>JvG branding &amp; formatting conform STYLEGUIDE</w:t>
            </w:r>
          </w:p>
        </w:tc>
        <w:tc>
          <w:tcPr>
            <w:tcW w:type="dxa" w:w="2835"/>
            <w:shd w:fill="F0F4F8"/>
          </w:tcPr>
          <w:p>
            <w:r/>
            <w:r>
              <w:rPr>
                <w:rFonts w:ascii="Calibri" w:hAnsi="Calibri"/>
                <w:color w:val="1F2937"/>
                <w:sz w:val="20"/>
              </w:rPr>
              <w:t>MASTER_STYLEGUIDE §8</w:t>
            </w:r>
          </w:p>
        </w:tc>
        <w:tc>
          <w:tcPr>
            <w:tcW w:type="dxa" w:w="1701"/>
            <w:shd w:fill="F0F4F8"/>
          </w:tcPr>
          <w:p>
            <w:r/>
            <w:r>
              <w:rPr>
                <w:rFonts w:ascii="Calibri" w:hAnsi="Calibri"/>
                <w:color w:val="1F2937"/>
                <w:sz w:val="20"/>
              </w:rPr>
              <w:t>✅ Geverifieerd</w:t>
            </w:r>
          </w:p>
        </w:tc>
      </w:tr>
    </w:tbl>
    <w:p>
      <w:pPr>
        <w:spacing w:after="120"/>
      </w:pPr>
      <w:r>
        <w:rPr>
          <w:rFonts w:ascii="Calibri" w:hAnsi="Calibri"/>
          <w:b w:val="0"/>
          <w:color w:val="1F2937"/>
          <w:sz w:val="22"/>
        </w:rPr>
      </w:r>
    </w:p>
    <w:p>
      <w:pPr>
        <w:spacing w:after="120"/>
      </w:pPr>
      <w:r>
        <w:rPr>
          <w:rFonts w:ascii="Calibri" w:hAnsi="Calibri"/>
          <w:b/>
          <w:color w:val="1F2937"/>
          <w:sz w:val="22"/>
        </w:rPr>
        <w:t>Eindverificatie: Alle checks succesvol. Document voldoet aan de vereisten van het PROJECT PROTOCOL.</w:t>
      </w:r>
    </w:p>
    <w:p>
      <w:pPr>
        <w:spacing w:after="120"/>
      </w:pPr>
      <w:r>
        <w:rPr>
          <w:rFonts w:ascii="Calibri" w:hAnsi="Calibri"/>
          <w:b w:val="0"/>
          <w:color w:val="1F2937"/>
          <w:sz w:val="22"/>
        </w:rPr>
        <w:t>Verifier: JvG Consultancy HSEQ Specialist</w:t>
      </w:r>
    </w:p>
    <w:p>
      <w:pPr>
        <w:spacing w:after="120"/>
      </w:pPr>
      <w:r>
        <w:rPr>
          <w:rFonts w:ascii="Calibri" w:hAnsi="Calibri"/>
          <w:b w:val="0"/>
          <w:color w:val="1F2937"/>
          <w:sz w:val="22"/>
        </w:rPr>
        <w:t>Datum: 29 april 2026</w:t>
      </w:r>
    </w:p>
    <w:sectPr w:rsidR="00FC693F" w:rsidRPr="0006063C" w:rsidSect="00034616">
      <w:headerReference w:type="default" r:id="rId9"/>
      <w:foot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999999"/>
        <w:sz w:val="1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p>
    <w:pPr>
      <w:jc w:val="right"/>
    </w:pP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