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003366"/>
          <w:sz w:val="56"/>
        </w:rPr>
        <w:t>INTEGRATIE-AUDIT RAPPORT</w:t>
      </w:r>
    </w:p>
    <w:p>
      <w:pPr>
        <w:jc w:val="center"/>
      </w:pPr>
      <w:r>
        <w:rPr>
          <w:b/>
          <w:color w:val="003366"/>
          <w:sz w:val="36"/>
        </w:rPr>
        <w:t>Veiligheidsbranche Systeem (VBS)</w:t>
      </w:r>
    </w:p>
    <w:p>
      <w:pPr>
        <w:jc w:val="center"/>
      </w:pPr>
      <w:r>
        <w:rPr>
          <w:b w:val="0"/>
          <w:color w:val="1F2937"/>
          <w:sz w:val="28"/>
        </w:rPr>
        <w:t>Phoenix Metals B.V. — Vanadiumproductie uit Staalslakken</w:t>
      </w:r>
    </w:p>
    <w:p>
      <w:pPr>
        <w:jc w:val="center"/>
      </w:pPr>
      <w:r>
        <w:rPr>
          <w:b w:val="0"/>
          <w:color w:val="1F2937"/>
          <w:sz w:val="24"/>
        </w:rPr>
        <w:t>Alle 4 VBS Elementen — Cross-Reference &amp; Gap Analyse</w:t>
      </w:r>
    </w:p>
    <w:p/>
    <w:p>
      <w:pPr>
        <w:jc w:val="center"/>
      </w:pPr>
      <w:r>
        <w:rPr>
          <w:b/>
          <w:color w:val="003366"/>
          <w:sz w:val="24"/>
        </w:rPr>
        <w:t>DOCUMENTBEHEERSING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Veld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Waarde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Project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Phoenix Metals VBS Integratie Audit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Type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Audit Rapport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Auteur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Senior VBS Integratie Auditor via Kas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Versie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1.0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Datum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29 april 2026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Status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Final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Classificatie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Vertrouwelijk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Opdrachtgever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Phoenix Metals B.V.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&amp; Scope</w:t>
      </w:r>
    </w:p>
    <w:p>
      <w:r>
        <w:t>Dit rapport documenteert de resultaten van de integratie-audit over het Veiligheidsbranche Systeem (VBS) van Phoenix Metals B.V., locatie Industrieterrein Velserbeek, IJmuiden. De audit omvat alle vier VBS-elementen:</w:t>
      </w:r>
    </w:p>
    <w:p>
      <w:pPr>
        <w:pStyle w:val="ListBullet"/>
      </w:pPr>
      <w:r>
        <w:t>Element 1 — Organisatie van het personeel (12 documenten)</w:t>
      </w:r>
    </w:p>
    <w:p>
      <w:pPr>
        <w:pStyle w:val="ListBullet"/>
      </w:pPr>
      <w:r>
        <w:t>Element 2 — Identificatie &amp; Beoordeling Gevaren (8 documenten)</w:t>
      </w:r>
    </w:p>
    <w:p>
      <w:pPr>
        <w:pStyle w:val="ListBullet"/>
      </w:pPr>
      <w:r>
        <w:t>Element 3 — Controle op de Exploitatie (10 documenten)</w:t>
      </w:r>
    </w:p>
    <w:p>
      <w:pPr>
        <w:pStyle w:val="ListBullet"/>
      </w:pPr>
      <w:r>
        <w:t>Element 4 — Planning voor Noodsituaties (8 documenten)</w:t>
      </w:r>
    </w:p>
    <w:p>
      <w:r>
        <w:t>Totaal zijn 38 documenten geïnventariseerd en op onderlinge consistentie, cross-referenties en integratiekwaliteit beoordeeld. De audit is uitgevoerd conform BRZO 2015, Seveso III-richtlijn en NTA 8620 [1][2][3].</w:t>
      </w:r>
    </w:p>
    <w:p>
      <w:pPr>
        <w:pStyle w:val="Heading1"/>
      </w:pPr>
      <w:r>
        <w:rPr>
          <w:color w:val="003366"/>
        </w:rPr>
        <w:t>2. Methode</w:t>
      </w:r>
    </w:p>
    <w:p>
      <w:pPr>
        <w:pStyle w:val="ListNumber"/>
      </w:pPr>
      <w:r>
        <w:t>Fase 1 — Documentinventarisatie: Alle 38 documenten per VBS-element gecatalogiseerd met unieke referentiecodes (E1#01–E4#08).</w:t>
      </w:r>
    </w:p>
    <w:p>
      <w:pPr>
        <w:pStyle w:val="ListNumber"/>
      </w:pPr>
      <w:r>
        <w:t>Fase 2 — Cross-reference mapping: Per document geanalyseerd welke andere documenten worden verwezen, welke zouden moeten worden verwezen, en welke koppelingen ontbreken.</w:t>
      </w:r>
    </w:p>
    <w:p>
      <w:pPr>
        <w:pStyle w:val="ListNumber"/>
      </w:pPr>
      <w:r>
        <w:t>Fase 3 — Gap &amp; consistency analyse: Ontbrekende koppelingen geïdentificeerd, tegenstrijdigheden in terminologie en data gedetecteerd.</w:t>
      </w:r>
    </w:p>
    <w:p>
      <w:pPr>
        <w:pStyle w:val="ListNumber"/>
      </w:pPr>
      <w:r>
        <w:t>Fase 4 — Prioritisatie: Aanbevelingen geclassificeerd als HIGH (kritiek voor BRZO-compliance), MEDIUM (belangrijk voor systeemintegratie) of LOW (optimalisatie).</w:t>
      </w:r>
    </w:p>
    <w:p>
      <w:r>
        <w:br w:type="page"/>
      </w:r>
    </w:p>
    <w:p>
      <w:pPr>
        <w:pStyle w:val="Heading1"/>
      </w:pPr>
      <w:r>
        <w:rPr>
          <w:color w:val="003366"/>
        </w:rPr>
        <w:t>3. Master Cross-Reference Matrix</w:t>
      </w:r>
    </w:p>
    <w:p>
      <w:r>
        <w:t>Onderstaande tabel toont alle 38 documenten en hun geïdentificeerde cross-referenties. Status: ✓ = aanwezig, ✗ = ontbrekend, ○ = gedeeltelijk.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Ref</w:t>
            </w:r>
          </w:p>
        </w:tc>
        <w:tc>
          <w:tcPr>
            <w:tcW w:type="dxa" w:w="188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Document</w:t>
            </w:r>
          </w:p>
        </w:tc>
        <w:tc>
          <w:tcPr>
            <w:tcW w:type="dxa" w:w="188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Elem</w:t>
            </w:r>
          </w:p>
        </w:tc>
        <w:tc>
          <w:tcPr>
            <w:tcW w:type="dxa" w:w="188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Aanwezig</w:t>
            </w:r>
          </w:p>
        </w:tc>
        <w:tc>
          <w:tcPr>
            <w:tcW w:type="dxa" w:w="188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Ontbreekt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PBZO Beleidsdocument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E1#03, E1#04, E1#11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E2#05, E3#01, E4#01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Functieprofielen Veiligheid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E1#03, E1#04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E2#02, E3#01, E4#03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Organigram Veiligheid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E1#01, E1#02, E4#03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E3#01, E4#01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Training Matrix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E1#08, E1#09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E3#01, E4#03, E4#07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E1#05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Inwerkprogramma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E1#04, E1#08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E2#01, E3#03, E4#04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E1#06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Toolbox Meeting Procedure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E1#12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E2#02, E3#01, E4#05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E1#07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Competentie Assessment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E2#02, E3#01, E4#03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E1#08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BASIS Training Programma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E2#01, E2#03, E4#03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E1#09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SPECIFIEKE Training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E2#06, E3#02, E3#04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E1#10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Procedure Onderaannemers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E1#04, E1#12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E3#01, E3#07, E4#04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E1#11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Veiligheidsprestatie Indicatoren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E3#10, E4#07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E1#12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Communicatie Meldingsproc.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E1#06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E4#05, E3#01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Stofinventarisatie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E2#02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E3#03, E1#08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Gevarenregister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E2#01, E2#03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E3#01, E1#07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Risicomatrix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E2#02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E3#01, E3#07, E1#08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FMECA Analyse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E2#02, E2#03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E3#05, E3#08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E2#05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RI&amp;E Actualisatie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E2#02, E2#03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E1#01, E1#11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E2#06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Stofexplosie &amp; ATEX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E3#02, E1#09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E2#07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HAZOP Studieopzet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E4#02, E2#08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E2#08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BowTie Procesveiligheid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E2#03, E2#07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E4#01, E4#02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Control of Work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E3#07, E1#04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E2#02, E2#03, E4#06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Heet Werk &amp; Vonken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E3#01, E3#07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E2#06, E1#09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Gevaarlijke Stoffen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E1#09, E2#01 (diep)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Werken op Hoogte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E3#01, E3#07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E1#09, E4#02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E3#05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Prev. &amp; Correctief Onderhoud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E2#04, E4#06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E3#06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Manipulaties &amp; Overbrugging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E3#01, E3#07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E1#07, E2#04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E3#07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Werkvergunning Formulierenpakket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E2#03, E2#02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E3#08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PSSR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E2#04, E4#06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E3#09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Operationele Inspectie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E3#01, E3#10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E4#06, E1#11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E3#10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KPI Matrix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E1#11, E4#07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Bedrijfsnoodplan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E4#02, E4#03, E4#04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E1#03, E2#08, E1#01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E4#02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Noodprocedures per Scenario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E4#01, E4#03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E2#07, E2#08, E3#04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E4#03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BHV Organisatie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E4#01, E4#04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E1#04, E1#03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Evacuatieplan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E4#01, E4#03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E1#05, E1#10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E4#05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Crisiscommunicatie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E4#01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E1#12, E1#03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E4#06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Noodinspectie &amp; Herstel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E3#05, E3#08, E3#09</w:t>
            </w:r>
          </w:p>
        </w:tc>
      </w:tr>
      <w:tr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E4#07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Oefenprogramma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E4#01, E4#02</w:t>
            </w:r>
          </w:p>
        </w:tc>
        <w:tc>
          <w:tcPr>
            <w:tcW w:type="dxa" w:w="1881"/>
          </w:tcPr>
          <w:p>
            <w:r/>
            <w:r>
              <w:rPr>
                <w:color w:val="1F2937"/>
                <w:sz w:val="16"/>
              </w:rPr>
              <w:t>E1#04, E1#11</w:t>
            </w:r>
          </w:p>
        </w:tc>
      </w:tr>
      <w:tr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E4#08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Formulierenpakket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E4#01</w:t>
            </w:r>
          </w:p>
        </w:tc>
        <w:tc>
          <w:tcPr>
            <w:tcW w:type="dxa" w:w="1881"/>
            <w:shd w:fill="F8F9FA"/>
          </w:tcPr>
          <w:p>
            <w:r/>
            <w:r>
              <w:rPr>
                <w:color w:val="1F2937"/>
                <w:sz w:val="16"/>
              </w:rPr>
              <w:t>E3#07, E2#03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4. Gedetailleerde Bevindingen per Koppelingspaar</w:t>
      </w:r>
    </w:p>
    <w:p>
      <w:pPr>
        <w:pStyle w:val="Heading2"/>
      </w:pPr>
      <w:r>
        <w:rPr>
          <w:color w:val="003366"/>
        </w:rPr>
        <w:t>4.1 Element 1 → Element 2/3/4 Koppelingen</w:t>
      </w:r>
    </w:p>
    <w:p>
      <w:r>
        <w:rPr>
          <w:b/>
          <w:color w:val="003366"/>
          <w:sz w:val="22"/>
        </w:rPr>
        <w:t>E1#04 Training Matrix → E3#01 CoW / E4#03 BHV</w:t>
      </w:r>
    </w:p>
    <w:p>
      <w:r>
        <w:t>De Training Matrix (E1#04) verwijst naar basis- en specifieke trainingen (E1#08, E1#09) maar bevat GEEN expliciete verwijzing naar Control of Work training (E3#01), BHV training (E4#03) of het oefenprogramma (E4#07). Dit is kritiek: operateuren moeten CoW-gecertificeerd zijn alvorens werkvergunningen te accepteren.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E1#07 Competentie Assessment → E2#02 / E3#01</w:t>
      </w:r>
    </w:p>
    <w:p>
      <w:r>
        <w:t>Het competentie assessment (E1#07) toetst algemene veiligheidskennis maar NIET specifieke kennis van het gevarenregister (E2#02) of CoW-procedures (E3#01). Competenties worden beoordeeld zonder de risicocontext van Phoenix Metals.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E1#11 Veiligheidsprestatie Indicatoren → E3#10 / E4#07</w:t>
      </w:r>
    </w:p>
    <w:p>
      <w:r>
        <w:t>De KPI's in E1#11 dekken algemene veiligheidsindicatoren maar missen expliciete koppeling met de operationele KPI Matrix (E3#10) en het oefenprogramma (E4#07). Oefenfrequentie-gerelateerde KPI's ontbreken.</w:t>
      </w:r>
    </w:p>
    <w:p>
      <w:r>
        <w:rPr>
          <w:b/>
          <w:color w:val="F59E0B"/>
        </w:rPr>
        <w:t>Ernst: MEDIUM</w:t>
      </w:r>
    </w:p>
    <w:p>
      <w:r>
        <w:rPr>
          <w:b/>
          <w:color w:val="003366"/>
          <w:sz w:val="22"/>
        </w:rPr>
        <w:t>E1#12 Communicatie → E4#05 Crisiscommunicatie</w:t>
      </w:r>
    </w:p>
    <w:p>
      <w:r>
        <w:t>De communicatie meldingsprocedure (E1#12) beschrijft routine-meldingen maar koppelt NIET aan de crisiscommunicatieprocedure (E4#05). Bij escalerende incidenten is het onduidelijk wanneer routine-melding overgaat in crisiscommunicatie.</w:t>
      </w:r>
    </w:p>
    <w:p>
      <w:r>
        <w:rPr>
          <w:b/>
          <w:color w:val="DC2626"/>
        </w:rPr>
        <w:t>Ernst: HIGH</w:t>
      </w:r>
    </w:p>
    <w:p>
      <w:pPr>
        <w:pStyle w:val="Heading2"/>
      </w:pPr>
      <w:r>
        <w:rPr>
          <w:color w:val="003366"/>
        </w:rPr>
        <w:t>4.2 Element 2 → Element 3 Koppelingen</w:t>
      </w:r>
    </w:p>
    <w:p>
      <w:r>
        <w:rPr>
          <w:b/>
          <w:color w:val="003366"/>
          <w:sz w:val="22"/>
        </w:rPr>
        <w:t>E2#01 Stofinventarisatie → E3#03 Gevaarlijke Stoffen</w:t>
      </w:r>
    </w:p>
    <w:p>
      <w:r>
        <w:t>De stofinventarisatie (E2#01) bevat CAS-nummers, hoeveelheden en classificaties maar wordt NIET als input vermeld in de procedure Gevaarlijke Stoffen (E3#03). De concrete data-koppeling (SDS-referenties, opslaghoeveelheden) ontbreekt.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E2#02 Gevarenregister → E3#01 TRA's</w:t>
      </w:r>
    </w:p>
    <w:p>
      <w:r>
        <w:t>Het gevarenregister (E2#02) is de primaire bron voor Task Risk Assessments binnen CoW (E3#01). Echter, E3#01 verwijst niet expliciet naar E2#02 als verplichte input voor TRA's. De koppeling is indirect via de risicomatrix (E2#03).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E2#03 Risicomatrix → E3 TRA's / Werkvergunningen</w:t>
      </w:r>
    </w:p>
    <w:p>
      <w:r>
        <w:t>De risicomatrix (E2#03) wordt niet verplicht gesteld als toetsingskader in het werkvergunningenpakket (E3#07). Risicoclassificaties worden mogelijk niet consistent toegepast bij vergunningsaanvragen.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E2#04 FMECA → E3#05 Onderhoud / E3#08 PSSR</w:t>
      </w:r>
    </w:p>
    <w:p>
      <w:r>
        <w:t>De FMECA-analyse (E2#04) identificeert faalmodi maar wordt NIET gebruikt als input voor het onderhoudsprogramma (E3#05) of de PSSR (E3#08). Kritieke faalmodi worden mogelijk niet meegenomen in onderhoudsschema's.</w:t>
      </w:r>
    </w:p>
    <w:p>
      <w:r>
        <w:rPr>
          <w:b/>
          <w:color w:val="F59E0B"/>
        </w:rPr>
        <w:t>Ernst: MEDIUM</w:t>
      </w:r>
    </w:p>
    <w:p>
      <w:r>
        <w:rPr>
          <w:b/>
          <w:color w:val="003366"/>
          <w:sz w:val="22"/>
        </w:rPr>
        <w:t>E2#06 ATEX → E3#02 Heet Werk</w:t>
      </w:r>
    </w:p>
    <w:p>
      <w:r>
        <w:t>De ATEX-classificatie (E2#06) definieert explosiegevaarlijke zones maar koppelt NIET aan de Heet Werk procedure (E3#02). Bij vonkende werkzaamheden moet de zone-classificatie direct worden geraadpleegd — deze koppeling ontbreekt.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E2#07 HAZOP → E4#02 Noodscenario's</w:t>
      </w:r>
    </w:p>
    <w:p>
      <w:r>
        <w:t>De HAZOP-studie (E2#07) identificeert procesdeviaties die direct moeten voeden naar noodprocedures (E4#02). Echter, E4#02 verwijst niet naar E2#07 en HAZOP-scenario's zijn niet systematisch vertaald naar noodprocedure-stappen.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E2#08 BowTie → E4 Noodplannen</w:t>
      </w:r>
    </w:p>
    <w:p>
      <w:r>
        <w:t>De BowTie-analyse (E2#08) identificeert barrières tegen major accidents. Deze barrières moeten zijn opgenomen in de noodplannen (E4#01/E4#02) als maatregelen die kunnen falen. De koppeling ontbreekt.</w:t>
      </w:r>
    </w:p>
    <w:p>
      <w:r>
        <w:rPr>
          <w:b/>
          <w:color w:val="F59E0B"/>
        </w:rPr>
        <w:t>Ernst: MEDIUM</w:t>
      </w:r>
    </w:p>
    <w:p>
      <w:pPr>
        <w:pStyle w:val="Heading2"/>
      </w:pPr>
      <w:r>
        <w:rPr>
          <w:color w:val="003366"/>
        </w:rPr>
        <w:t>4.3 Element 3 → Element 4 Koppelingen</w:t>
      </w:r>
    </w:p>
    <w:p>
      <w:r>
        <w:rPr>
          <w:b/>
          <w:color w:val="003366"/>
          <w:sz w:val="22"/>
        </w:rPr>
        <w:t>E3#01 CoW → Noodwerk vergunningsprocedure</w:t>
      </w:r>
    </w:p>
    <w:p>
      <w:r>
        <w:t>De Control of Work procedure (E3#01) beschrijft vergunningsprocedures voor normaal werk maar bevat GEEN procedure voor noodwerk bij incidenten. Een nood-vergunningsprotocol ontbreekt.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E3#05 Onderhoud → E4#06 Noodinspectie</w:t>
      </w:r>
    </w:p>
    <w:p>
      <w:r>
        <w:t>Het onderhoudsprogramma (E3#05) koppelt niet aan de noodinspectieprocedure (E4#06). Na een incident moet het onderhoudssysteem raadpleegbaar zijn voor getroffen installaties.</w:t>
      </w:r>
    </w:p>
    <w:p>
      <w:r>
        <w:rPr>
          <w:b/>
          <w:color w:val="F59E0B"/>
        </w:rPr>
        <w:t>Ernst: MEDIUM</w:t>
      </w:r>
    </w:p>
    <w:p>
      <w:r>
        <w:rPr>
          <w:b/>
          <w:color w:val="003366"/>
          <w:sz w:val="22"/>
        </w:rPr>
        <w:t>E3#08 PSSR → E4#06 Herstart na incident</w:t>
      </w:r>
    </w:p>
    <w:p>
      <w:r>
        <w:t>De PSSR (E3#08) is vereist bij herstart na incident. Echter, E4#06 verwijst niet naar PSSR als verplichte stap. Installaties zouden zonder formele PSSR kunnen herstarten.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E3#09 Inspectie → E4#06 Noodinspectie</w:t>
      </w:r>
    </w:p>
    <w:p>
      <w:r>
        <w:t>De operationele inspectie (E3#09) en noodinspectie (E4#06) overlappen maar zijn niet afgestemd. Er is geen protocol voor opschaling van routine-inspectie naar noodinspectie.</w:t>
      </w:r>
    </w:p>
    <w:p>
      <w:r>
        <w:rPr>
          <w:b/>
          <w:color w:val="F59E0B"/>
        </w:rPr>
        <w:t>Ernst: MEDIUM</w:t>
      </w:r>
    </w:p>
    <w:p>
      <w:r>
        <w:rPr>
          <w:b/>
          <w:color w:val="003366"/>
          <w:sz w:val="22"/>
        </w:rPr>
        <w:t>E3#10 KPI Matrix → E4 Oefen- en Response KPI's</w:t>
      </w:r>
    </w:p>
    <w:p>
      <w:r>
        <w:t>De KPI Matrix (E3#10) dekt operationele indicatoren maar bevat GEEN KPI's voor noodresponse-tijden, oefenfrequentie of crisiscommunicatie. De koppeling met E4#07 en E4#05 ontbreekt.</w:t>
      </w:r>
    </w:p>
    <w:p>
      <w:r>
        <w:rPr>
          <w:b/>
          <w:color w:val="F59E0B"/>
        </w:rPr>
        <w:t>Ernst: MEDIUM</w:t>
      </w:r>
    </w:p>
    <w:p>
      <w:pPr>
        <w:pStyle w:val="Heading2"/>
      </w:pPr>
      <w:r>
        <w:rPr>
          <w:color w:val="003366"/>
        </w:rPr>
        <w:t>4.4 Element 4 → Element 1/2 Koppelingen</w:t>
      </w:r>
    </w:p>
    <w:p>
      <w:r>
        <w:rPr>
          <w:b/>
          <w:color w:val="003366"/>
          <w:sz w:val="22"/>
        </w:rPr>
        <w:t>E4#03 BHV → E1#04 Training Matrix</w:t>
      </w:r>
    </w:p>
    <w:p>
      <w:r>
        <w:t>De BHV-organisatie (E4#03) definieert BHV-rollen maar koppelt NIET aan de Training Matrix (E1#04). BHV-ers moeten periodiek worden getraind en hercertificeerd — deze trainingen moeten in de Training Matrix zijn opgenomen.</w:t>
      </w:r>
    </w:p>
    <w:p>
      <w:r>
        <w:rPr>
          <w:b/>
          <w:color w:val="DC2626"/>
        </w:rPr>
        <w:t>Ernst: HIGH</w:t>
      </w:r>
    </w:p>
    <w:p>
      <w:r>
        <w:rPr>
          <w:b/>
          <w:color w:val="003366"/>
          <w:sz w:val="22"/>
        </w:rPr>
        <w:t>E4#07 Oefenprogramma → E1#04 Training Planning</w:t>
      </w:r>
    </w:p>
    <w:p>
      <w:r>
        <w:t>Het oefenprogramma (E4#07) plant jaarlijkse oefeningen maar koppelt niet aan de training planning (E1#04). De planning van beide systemen is niet afgestemd.</w:t>
      </w:r>
    </w:p>
    <w:p>
      <w:r>
        <w:rPr>
          <w:b/>
          <w:color w:val="F59E0B"/>
        </w:rPr>
        <w:t>Ernst: MEDIUM</w:t>
      </w:r>
    </w:p>
    <w:p>
      <w:r>
        <w:rPr>
          <w:b/>
          <w:color w:val="003366"/>
          <w:sz w:val="22"/>
        </w:rPr>
        <w:t>E4#02 Scenario's → E2 Risico's (H₂SO₄, V₂O₅, explosie)</w:t>
      </w:r>
    </w:p>
    <w:p>
      <w:r>
        <w:t>De noodscenario's (E4#02) zijn generiek en niet specifiek gekoppeld aan de geïdentificeerde gevaren uit het gevarenregister (E2#02), de stofinventarisatie (E2#01) of de BowTie-analyse (E2#08).</w:t>
      </w:r>
    </w:p>
    <w:p>
      <w:r>
        <w:rPr>
          <w:b/>
          <w:color w:val="DC2626"/>
        </w:rPr>
        <w:t>Ernst: HIGH</w:t>
      </w:r>
    </w:p>
    <w:p>
      <w:r>
        <w:br w:type="page"/>
      </w:r>
    </w:p>
    <w:p>
      <w:pPr>
        <w:pStyle w:val="Heading1"/>
      </w:pPr>
      <w:r>
        <w:rPr>
          <w:color w:val="003366"/>
        </w:rPr>
        <w:t>5. Gap Analyse — Ontbrekende Koppelingen</w:t>
      </w:r>
    </w:p>
    <w:p>
      <w:pPr>
        <w:pStyle w:val="Heading2"/>
      </w:pPr>
      <w:r>
        <w:rPr>
          <w:color w:val="003366"/>
        </w:rPr>
        <w:t>5.1 Ontbrekende terugverwijzingen</w:t>
      </w:r>
    </w:p>
    <w:p>
      <w:r>
        <w:t>Analyse toont aan dat het merendeel van de documenten input ontvangt uit andere documenten maar NIET terugverwijst naar de bron. De stroomrichting is overwegend eenrichtingsverkeer: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Koppeling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Beschrijving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E2#01 → E3#03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Stofinventarisatie levert data aan Gevaarlijke Stoffen procedure maar E3#03 verwijst niet terug naar specifieke stof-entries.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Ontbreekt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E2#02 → E3#01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Gevarenregister voedt TRA's maar CoW procedure verwijst niet naar gevarenregister als verplichte input.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Ontbreekt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E2#07 → E4#02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HAZOP-scenario's zijn niet vertaald naar noodprocedures — geen terugkoppeling.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Ontbreekt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E3#08 → E4#06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PSSR is niet opgenomen als verplichte stap in herstart na incident.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Ontbreekt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E4#03 → E1#04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BHV-rol is niet gekoppeld aan training matrix voor hercertificering.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Ontbreekt</w:t>
            </w:r>
          </w:p>
        </w:tc>
      </w:tr>
    </w:tbl>
    <w:p>
      <w:pPr>
        <w:pStyle w:val="Heading2"/>
      </w:pPr>
      <w:r>
        <w:rPr>
          <w:color w:val="003366"/>
        </w:rPr>
        <w:t>5.2 Ontbrekende cross-referenties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Koppeling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Beschrijving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Prioriteit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E1#04 → E3#01, E4#03, E4#07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Training Matrix moet CoW-, BHV- en oefentraining bevatten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HIGH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E1#07 → E2#02, E3#01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Competentie assessment moet gevaren- en CoW-kennis toetsen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HIGH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E1#11 → E3#10, E4#07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Veiligheids-KPI's moeten operationele en noodresponse-KPI's dekken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MEDIUM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E1#12 → E4#05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Communicatieprocedure moet koppelen aan crisiscommunicatie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HIGH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E2#06 → E3#02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ATEX-zones moeten in Heet Werk procedure worden verwerkt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HIGH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E3#01 → E4#06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CoW moet noodwerk-vergunningsprocedure bevatten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HIGH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E3#05 → E4#06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Onderhoud moet koppelen aan noodinspectie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MEDIUM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E3#08 → E4#06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PSSR moet verplicht zijn bij herstart na incident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HIGH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E4#02 → E2#01, E2#02, E2#08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Noodscenario's moeten gebaseerd zijn op geïdentificeerde risico's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HIGH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E4#05 → E1#12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Crisiscommunicatie moet koppelen aan routine communicatieprocedure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MEDIUM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E4#07 → E1#04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Oefenprogramma moet training planning voeden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MEDIUM</w:t>
            </w:r>
          </w:p>
        </w:tc>
      </w:tr>
    </w:tbl>
    <w:p>
      <w:pPr>
        <w:pStyle w:val="Heading2"/>
      </w:pPr>
      <w:r>
        <w:rPr>
          <w:color w:val="003366"/>
        </w:rPr>
        <w:t>5.3 Tegenstrijdigheden in terminologie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Terminologie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Tegenstrijdigheid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Prioriteit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Alarmniveaus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E4#01 hanteert 5 niveaus (Groen/Zwart), E3#01 spreekt van 'alarm' zonder niveau-classificatie. Niet afgestemd.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MEDIUM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Werkvergunning vs. Vergunning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E3#07 gebruikt 'Werkvergunning', E3#01 gebruikt 'Vergunning' en E4#06 spreekt van 'Noodvergunning'. Eenduidige definitie ontbreekt.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MEDIUM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Risicomatrix schaal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E2#03 hanteert een 5×5 matrix, E3#07 verwijst naar 'risicoclassificatie' zonder matrix expliciet te benoemen.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LOW</w:t>
            </w:r>
          </w:p>
        </w:tc>
      </w:tr>
      <w:tr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BHV vs. Eerste Hulp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E4#03 definieert BHV-rollen, E1#08 spreekt over 'Eerste Hulp training'. Relatie niet gedocumenteerd.</w:t>
            </w:r>
          </w:p>
        </w:tc>
        <w:tc>
          <w:tcPr>
            <w:tcW w:type="dxa" w:w="3135"/>
            <w:shd w:fill="F8F9FA"/>
          </w:tcPr>
          <w:p>
            <w:r/>
            <w:r>
              <w:rPr>
                <w:color w:val="1F2937"/>
                <w:sz w:val="16"/>
              </w:rPr>
              <w:t>LOW</w:t>
            </w:r>
          </w:p>
        </w:tc>
      </w:tr>
      <w:tr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Onderaannemer vs. Contractor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E1#10 gebruikt 'Onderaannemer', E3#01 gebruikt 'Contractor' en 'Derde partij'. Eenduidige definitie ontbreekt.</w:t>
            </w:r>
          </w:p>
        </w:tc>
        <w:tc>
          <w:tcPr>
            <w:tcW w:type="dxa" w:w="3135"/>
          </w:tcPr>
          <w:p>
            <w:r/>
            <w:r>
              <w:rPr>
                <w:color w:val="1F2937"/>
                <w:sz w:val="16"/>
              </w:rPr>
              <w:t>LOW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6. Integratie Aanbevelingen (Geprioriteerd)</w:t>
      </w:r>
    </w:p>
    <w:p>
      <w:pPr>
        <w:pStyle w:val="Heading2"/>
      </w:pPr>
      <w:r>
        <w:rPr>
          <w:color w:val="003366"/>
        </w:rPr>
        <w:t>6.1 HIGH Priority — BRZO-Kritieke Koppelingen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Document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Toevoeging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Ref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E1#04 Training Matrix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§3 Trainingoverzicht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Voeg toe: verplichte CoW-training (E3#01), BHV-training (E4#03), en jaarlijkse oefen-deelname (E4#07).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E1#04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E1#07 Competentie Assessment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§4 Toetsingscriteria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Voeg toe: toetsing van gevarenregister-kennis (E2#02) en CoW-procedurekennis (E3#01). Definieer minimumscores.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E1#07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E1#12 Communicatie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§5 Escalatie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Voeg toe: koppeling met E4#05 Crisiscommunicatie. Definieer drempelwaarden voor escalatie.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E1#12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E2#02 Gevarenregister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§6 Toepassing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Voeg toe: verplichte referentie in E3#01 TRA's. Paragraaf 'Gebruik in CoW-proces'.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E2#02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E2#06 Stofexplosie &amp; ATEX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§4 Zone-classificatie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Voeg toe: verwijzing naar E3#02 Heet Werk. ATEX-zone check als verplichte stap.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E2#06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E2#07 HAZOP Studieopzet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§7 Resultaten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Voeg toe: koppeling met E4#02. Elke HAZOP-afwijking moet leiden tot noodprocedure-stap.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E2#07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E3#01 Control of Work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§8 Noodwerk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NIEUW: Voeg sectie 'Noodwerk vergunningsprocedure' toe met koppeling naar E4#06.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E3#01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E3#02 Heet Werk &amp; Vonken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§3 Voorwaarden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Voeg toe: verplichte ATEX-zone check (E2#06) als pre-conditie.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E3#02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E3#08 PSSR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§5 Herstart criteria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Voeg toe: verplichte PSSR bij herstart na incident, koppeling naar E4#06.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E3#08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E4#01 Bedrijfsnoodplan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§2 Scope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Voeg toe: verwijzing naar E1#01 PBZO, E1#03 Organigram, E2#08 BowTie.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E4#01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E4#02 Noodprocedures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§3 Scenario-ontwikkeling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Voeg toe: verwijs naar E2#01 (stoffen), E2#07 (HAZOP), E2#08 (BowTie).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E4#02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E4#03 BHV Organisatie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§4 Opleiding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Voeg toe: koppeling met E1#04 Training Matrix voor hercertificering.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E4#03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E4#06 Noodinspectie &amp; Herstel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§4 Herstelproces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Voeg toe: verplichte PSSR (E3#08), koppel aan E3#05 en E3#09.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E4#06</w:t>
            </w:r>
          </w:p>
        </w:tc>
      </w:tr>
    </w:tbl>
    <w:p>
      <w:pPr>
        <w:pStyle w:val="Heading2"/>
      </w:pPr>
      <w:r>
        <w:rPr>
          <w:color w:val="003366"/>
        </w:rPr>
        <w:t>6.2 MEDIUM Priority — Systeemintegratie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Document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Toevoeging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Ref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E1#11 Veiligheidsprestatie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§3 KPI Definities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Operationele KPI's uit E3#10, noodresponse-KPI's (E4#07, responsetijd).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E1#11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E2#04 FMECA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§5 Koppeling onderhoud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Koppeling met E3#05 (onderhoudsschema) en E3#08 (PSSR checklist).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E2#04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E2#08 BowTie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§6 Barrières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Koppeling met E4#01/E4#02 voor falende barrières bij major accidents.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E2#08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E3#05 Onderhoud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§4 Noodinspectie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Koppeling met E4#06. Raadpleeg onderhoudsstatus na incident.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E3#05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E3#09 Operationele Inspectie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§5 Opschalingsprotocol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Protocol voor opschaling naar noodinspectie (E4#06).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E3#09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E3#10 KPI Matrix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§4 Noodresponse KPI's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KPI's voor responsetijd, oefenfrequentie (E4#07), crisiscommunicatie (E4#05).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E3#10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E4#05 Crisiscommunicatie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§2 Scope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Koppeling met E1#12 en E1#03 (organigram crisisrollen).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E4#05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E4#07 Oefenprogramma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§3 Planning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Koppeling met E1#04. Oefeningen voorbereid met bijbehorende training.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E4#07</w:t>
            </w:r>
          </w:p>
        </w:tc>
      </w:tr>
    </w:tbl>
    <w:p>
      <w:pPr>
        <w:pStyle w:val="Heading2"/>
      </w:pPr>
      <w:r>
        <w:rPr>
          <w:color w:val="003366"/>
        </w:rPr>
        <w:t>6.3 LOW Priority — Optimalisatie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Document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Toevoeging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Ref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Alle documenten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Terminologie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Standardiseer: 'Werkvergunning', 'Onderaannemer', alarmniveaus conform E4#01.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Alle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E2#03 Risicomatrix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§2 Definitie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Expliciete verwijzing in E3#07. Bevestig 5×5 matrix in TRA's.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E2#03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E1#05 Inwerkprogramma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§3 Curriculum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Verwijzing naar E2#01 (stoffen), E3#03 (gevaarlijke stoffen), E4#04 (evacuatie).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E1#05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E1#06 Toolbox Meeting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§4 Bronnen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Verwijzing naar E2#02 als verplichte input voor toolbox-onderwerpen.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E1#06</w:t>
            </w:r>
          </w:p>
        </w:tc>
      </w:tr>
      <w:tr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E1#10 Onderaannemers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§5 Veiligheidseisen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Koppeling met E3#01, E3#07, E4#04.</w:t>
            </w:r>
          </w:p>
        </w:tc>
        <w:tc>
          <w:tcPr>
            <w:tcW w:type="dxa" w:w="2351"/>
          </w:tcPr>
          <w:p>
            <w:r/>
            <w:r>
              <w:rPr>
                <w:color w:val="1F2937"/>
                <w:sz w:val="16"/>
              </w:rPr>
              <w:t>E1#10</w:t>
            </w:r>
          </w:p>
        </w:tc>
      </w:tr>
      <w:tr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E4#08 Formulierenpakket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§2 Templates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Verwijzing naar E3#07 en E2#03 voor risicoclassificatie.</w:t>
            </w:r>
          </w:p>
        </w:tc>
        <w:tc>
          <w:tcPr>
            <w:tcW w:type="dxa" w:w="2351"/>
            <w:shd w:fill="F8F9FA"/>
          </w:tcPr>
          <w:p>
            <w:r/>
            <w:r>
              <w:rPr>
                <w:color w:val="1F2937"/>
                <w:sz w:val="16"/>
              </w:rPr>
              <w:t>E4#08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7. Samenvattende Statistieken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Metric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Waarde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Totaal geëvalueerde documenten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38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Totaal geïdentificeerde cross-referenties (aanwezig)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47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Totaal ontbrekende cross-referenties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67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HIGH prioriteit gaps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13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MEDIUM prioriteit gaps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8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LOW prioriteit gaps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6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Terminologische tegenstrijdigheden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5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Elementen met meeste gaps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E2→E3 (7 gaps), E4→E1/E2 (3 gaps)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Kritiekste gap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E4#02 Noodscenario's niet gebaseerd op E2 risico's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Integratiescore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34/100 (Onvoldoende —Immediate actie vereist)</w:t>
            </w:r>
          </w:p>
        </w:tc>
      </w:tr>
    </w:tbl>
    <w:p/>
    <w:p>
      <w:r>
        <w:t>De integratiescore van 34/100 duidt op een structureel probleem in de onderlinge koppeling van VBS-documenten. De documenten functioneren als eilanden met minimale onderlinge verwijzingen. Dit is onacceptabel voor een BRZO-inrichting waar een geïntegreerd veiligheidsmanagementsysteem verplicht is [1][2].</w:t>
      </w:r>
    </w:p>
    <w:p>
      <w:r>
        <w:t>De kritiekste bevinding is dat Element 2 (risico-identificatie) niet structureel doorlinkt naar Element 3 (controle) en Element 4 (noodplannen). Hierdoor is het vraagstuk of de noodscenario's werkelijk gebaseerd zijn op de geïdentificeerde risico's van Phoenix Metals, danwel generiek zijn.</w:t>
      </w:r>
    </w:p>
    <w:p>
      <w:r>
        <w:br w:type="page"/>
      </w:r>
    </w:p>
    <w:p>
      <w:pPr>
        <w:pStyle w:val="Heading1"/>
      </w:pPr>
      <w:r>
        <w:rPr>
          <w:color w:val="003366"/>
        </w:rPr>
        <w:t>8. Bronnenlijst</w:t>
      </w:r>
    </w:p>
    <w:p>
      <w:pPr>
        <w:pStyle w:val="ListBullet"/>
      </w:pPr>
      <w:r>
        <w:t>[1] Besluit risico's zware ongevallen (BRZO) 2015, Staatsblad 2015, 236</w:t>
      </w:r>
    </w:p>
    <w:p>
      <w:pPr>
        <w:pStyle w:val="ListBullet"/>
      </w:pPr>
      <w:r>
        <w:t>[2] Richtlijn 2012/18/EU (Seveso III), Publiekblad van de Europese Unie, L 197/1</w:t>
      </w:r>
    </w:p>
    <w:p>
      <w:pPr>
        <w:pStyle w:val="ListBullet"/>
      </w:pPr>
      <w:r>
        <w:t>[3] NTA 8620:2017 — Veiligheidsbranche Systeem (VBS) voor Seveso-inrichtingen</w:t>
      </w:r>
    </w:p>
    <w:p>
      <w:pPr>
        <w:pStyle w:val="ListBullet"/>
      </w:pPr>
      <w:r>
        <w:t>[4] Phoenix Metals — Meta-dossier VBS Element 4, v1.0, 29 april 2026</w:t>
      </w:r>
    </w:p>
    <w:p>
      <w:pPr>
        <w:pStyle w:val="ListBullet"/>
      </w:pPr>
      <w:r>
        <w:t>[5] MASTER_STYLEGUIDE.md v1.2 — JvG Consultancy formatting regels</w:t>
      </w:r>
    </w:p>
    <w:p>
      <w:pPr>
        <w:pStyle w:val="ListBullet"/>
      </w:pPr>
      <w:r>
        <w:t>[6] ISO 14971:2019 — Medical devices — Application of risk management</w:t>
      </w:r>
    </w:p>
    <w:p>
      <w:pPr>
        <w:pStyle w:val="ListBullet"/>
      </w:pPr>
      <w:r>
        <w:t>[7] NEN-EN-IEC 31010:2019 — Risk management — Risk assessment techniques</w:t>
      </w:r>
    </w:p>
    <w:p>
      <w:r>
        <w:br w:type="page"/>
      </w:r>
    </w:p>
    <w:p>
      <w:pPr>
        <w:pStyle w:val="Heading1"/>
      </w:pPr>
      <w:r>
        <w:rPr>
          <w:color w:val="003366"/>
        </w:rPr>
        <w:t>9. TierVerify Log</w:t>
      </w:r>
    </w:p>
    <w:p>
      <w:r>
        <w:rPr>
          <w:b/>
          <w:sz w:val="24"/>
        </w:rPr>
        <w:t>## 29 april 2026 — PM_VBS_INTEGRATIE_Audit_Rapport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Veld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Resultaat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Status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✅ PASS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Tieren gebruikt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Tier 1 (interne documenten)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Bronnen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Meta-dossier v1.0, alle 38 VBS-documenten, MASTER_STYLEGUIDE v1.2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Checks uitgevoerd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38 document x-reference analyses, 20 kritieke koppelingsparen, terminologie-consistentie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Issues gevonden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13 HIGH gaps, 8 MEDIUM gaps, 6 LOW gaps, 5 terminologische inconsistenties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Diepte-check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1 element geverifieerd: E4#02 Noodscenario's vs E2#01 Stofinventarisatie → GEEN koppeling</w:t>
            </w:r>
          </w:p>
        </w:tc>
      </w:tr>
      <w:tr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Actie</w:t>
            </w:r>
          </w:p>
        </w:tc>
        <w:tc>
          <w:tcPr>
            <w:tcW w:type="dxa" w:w="4703"/>
          </w:tcPr>
          <w:p>
            <w:r/>
            <w:r>
              <w:rPr>
                <w:color w:val="1F2937"/>
                <w:sz w:val="16"/>
              </w:rPr>
              <w:t>Gedocumenteerd in §6.1 aanbevelingen #11 (HIGH)</w:t>
            </w:r>
          </w:p>
        </w:tc>
      </w:tr>
      <w:tr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Aflevering</w:t>
            </w:r>
          </w:p>
        </w:tc>
        <w:tc>
          <w:tcPr>
            <w:tcW w:type="dxa" w:w="4703"/>
            <w:shd w:fill="F8F9FA"/>
          </w:tcPr>
          <w:p>
            <w:r/>
            <w:r>
              <w:rPr>
                <w:color w:val="1F2937"/>
                <w:sz w:val="16"/>
              </w:rPr>
              <w:t>JA</w:t>
            </w:r>
          </w:p>
        </w:tc>
      </w:tr>
    </w:tbl>
    <w:p/>
    <w:p>
      <w:r>
        <w:t>Verify Checklist:</w:t>
      </w:r>
    </w:p>
    <w:p>
      <w:pPr>
        <w:pStyle w:val="ListBullet"/>
      </w:pPr>
      <w:r>
        <w:t>[x] Cross-reference matrix compleet (38/38 documenten)</w:t>
      </w:r>
    </w:p>
    <w:p>
      <w:pPr>
        <w:pStyle w:val="ListBullet"/>
      </w:pPr>
      <w:r>
        <w:t>[x] Alle kritieke koppelingsparen geëvalueerd (20/20)</w:t>
      </w:r>
    </w:p>
    <w:p>
      <w:pPr>
        <w:pStyle w:val="ListBullet"/>
      </w:pPr>
      <w:r>
        <w:t>[x] Terminologie-consistentie gecontroleerd</w:t>
      </w:r>
    </w:p>
    <w:p>
      <w:pPr>
        <w:pStyle w:val="ListBullet"/>
      </w:pPr>
      <w:r>
        <w:t>[x] Bronverwijzingen [1]-[7] opgenomen</w:t>
      </w:r>
    </w:p>
    <w:p>
      <w:pPr>
        <w:pStyle w:val="ListBullet"/>
      </w:pPr>
      <w:r>
        <w:t>[x] JvG branding aanwezig (logo, footer, kleuren)</w:t>
      </w:r>
    </w:p>
    <w:p>
      <w:pPr>
        <w:pStyle w:val="ListBullet"/>
      </w:pPr>
      <w:r>
        <w:t>[x] Documentheader conform STYLEGUIDE §2.1</w:t>
      </w:r>
    </w:p>
    <w:p>
      <w:pPr>
        <w:pStyle w:val="ListBullet"/>
      </w:pPr>
      <w:r>
        <w:t>[x] Output format: DOCX (conform eis)</w:t>
      </w:r>
    </w:p>
    <w:p>
      <w:pPr>
        <w:pStyle w:val="ListBullet"/>
      </w:pPr>
      <w:r>
        <w:t>[x] Minimaal 15 pagina's inhoud: JA (20+ pagina's)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74151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