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36"/>
        </w:rPr>
        <w:t>Post-Incident Onderzoek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Project: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Phoenix Metals — VBS Element 4 (BRZO VI)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Type: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Auteur: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JvG Consultancy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Versie: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Datum: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29 april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Status: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Documentbeheersing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0.1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Concept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1.0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Inhoudsopgave</w:t>
      </w:r>
    </w:p>
    <w:p>
      <w:r>
        <w:t>[Zie koppenstructuur hieronder]</w:t>
      </w:r>
    </w:p>
    <w:p>
      <w:pPr>
        <w:pStyle w:val="Heading1"/>
      </w:pPr>
      <w:r>
        <w:rPr>
          <w:color w:val="003366"/>
          <w:sz w:val="28"/>
        </w:rPr>
        <w:t>1 Inleiding</w:t>
      </w:r>
    </w:p>
    <w:p>
      <w:r>
        <w:t>Dit document beschrijft de procedure voor post-incident onderzoek, conform Seveso III art. 14(3) [1] en NTA 8620 par. 10.3 [2]. Doel: oorzaken identificeren, herhaling voorkomen en het Veiligheidsbeheerssysteem (VBS) continu verbeteren.</w:t>
      </w:r>
    </w:p>
    <w:p>
      <w:pPr>
        <w:pStyle w:val="Heading1"/>
      </w:pPr>
      <w:r>
        <w:rPr>
          <w:color w:val="003366"/>
          <w:sz w:val="28"/>
        </w:rPr>
        <w:t>2 Doel</w:t>
      </w:r>
    </w:p>
    <w:p>
      <w:pPr>
        <w:pStyle w:val="ListBullet"/>
      </w:pPr>
      <w:r>
        <w:t>Identificeren van directe en onderliggende oorzaken</w:t>
      </w:r>
    </w:p>
    <w:p>
      <w:pPr>
        <w:pStyle w:val="ListBullet"/>
      </w:pPr>
      <w:r>
        <w:t>Voorkomen van herhaling door gerichte maatregelen</w:t>
      </w:r>
    </w:p>
    <w:p>
      <w:pPr>
        <w:pStyle w:val="ListBullet"/>
      </w:pPr>
      <w:r>
        <w:t>Verbeteren van het VBS op basis van leerpunten</w:t>
      </w:r>
    </w:p>
    <w:p>
      <w:pPr>
        <w:pStyle w:val="ListBullet"/>
      </w:pPr>
      <w:r>
        <w:t>Voldoen aan wettelijke onderzoeksplicht</w:t>
      </w:r>
    </w:p>
    <w:p>
      <w:pPr>
        <w:pStyle w:val="Heading1"/>
      </w:pPr>
      <w:r>
        <w:rPr>
          <w:color w:val="003366"/>
          <w:sz w:val="28"/>
        </w:rPr>
        <w:t>3 Onderzoeksmethodieken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Methodiek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Toepassing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Diepte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TRIPOD Beta [3]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Onderliggende organisatorische oorzaken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Volledig (niveau 3-4)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BSCAT [4]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Falende barrières en controles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Volledig (niveau 2-3)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5-Why analyse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Snelle oorzaakanalyse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Basis (niveau 1)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Fishbone / Ishikawa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Categorie-gerichte oorzaakanalyse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Ondersteunend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Event Tree Analysis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Verloop incident analyse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Ondersteunend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4 Classificatie Onderzoeksdiepte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Niveau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Onderzoek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Door wie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Near-miss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Kort onderzoek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Leidinggevende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Minor incident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TRIPOD quickscan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Major incident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TRIPOD volledig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Intern team + extern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Dodelijk / catastrofaal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Onafhankelijk onderzoek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Extern bureau + bevoegd gezag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5 Onderzoeksprocedure (8 Stappen)</w:t>
      </w:r>
    </w:p>
    <w:p>
      <w:r>
        <w:t>Stap 1: Directe acties: eerste hulp, scene veiligstellen, bewijsmateriaal waarborgen</w:t>
      </w:r>
    </w:p>
    <w:p>
      <w:r>
        <w:t>Stap 2: Feiten verzamelen: getuigenverklaringen, foto's, procesdata, logbestanden</w:t>
      </w:r>
    </w:p>
    <w:p>
      <w:r>
        <w:t>Stap 3: Tijdlijn reconstrueren: chronologisch overzicht gebeurtenissen</w:t>
      </w:r>
    </w:p>
    <w:p>
      <w:r>
        <w:t>Stap 4: Falende barrières identificeren: welke controles faalden of ontbraken</w:t>
      </w:r>
    </w:p>
    <w:p>
      <w:r>
        <w:t>Stap 5: Onderliggende oorzaken analyseren: TRIPOD/BSCAT methodiek toepassen</w:t>
      </w:r>
    </w:p>
    <w:p>
      <w:r>
        <w:t>Stap 6: Aanbevelingen formuleren: specifiek, meetbaar, toegewezen, termijn</w:t>
      </w:r>
    </w:p>
    <w:p>
      <w:r>
        <w:t>Stap 7: Rapportage: formeel onderzoeksrapport met bevindingen en aanbevelingen</w:t>
      </w:r>
    </w:p>
    <w:p>
      <w:r>
        <w:t>Stap 8: Opvolging en afsluiting: implementatie aanbevelingen, verificatie, afsluiting</w:t>
      </w:r>
    </w:p>
    <w:p>
      <w:pPr>
        <w:pStyle w:val="Heading1"/>
      </w:pPr>
      <w:r>
        <w:rPr>
          <w:color w:val="003366"/>
          <w:sz w:val="28"/>
        </w:rPr>
        <w:t>6 Onderzoeksteam Samenstelling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Niveau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Teamleden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Minimale competentie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Leidinggevende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VCA, incidentregistratie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HSE Manager + leidinggevende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TRIPOD quickscan, BSCAT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HSE Manager + technisch specialist + extern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TRIPOD Beta gecertificeerd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Extern onafhankelijk bureau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Onderzoeksertificering, branchekennis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7 Rapportage &amp; Opvolging</w:t>
      </w:r>
    </w:p>
    <w:p>
      <w:pPr>
        <w:pStyle w:val="ListBullet"/>
      </w:pPr>
      <w:r>
        <w:t>Onderzoeksrapport volgens vast template (zie PM_VBS04_08 Formulierenpakket)</w:t>
      </w:r>
    </w:p>
    <w:p>
      <w:pPr>
        <w:pStyle w:val="ListBullet"/>
      </w:pPr>
      <w:r>
        <w:t>Actiepunten tracking in Ultimo met verantwoordelijke en deadline</w:t>
      </w:r>
    </w:p>
    <w:p>
      <w:pPr>
        <w:pStyle w:val="ListBullet"/>
      </w:pPr>
      <w:r>
        <w:t>Leerpunten verspreiding: Toolbox Meetings, HSE-nieuwsbrief, Management Review</w:t>
      </w:r>
    </w:p>
    <w:p>
      <w:pPr>
        <w:pStyle w:val="ListBullet"/>
      </w:pPr>
      <w:r>
        <w:t>Koppeling MoC (PM_VBS05_02): aanbevelingen leiden tot wijzigingsvoorstellen</w:t>
      </w:r>
    </w:p>
    <w:p>
      <w:pPr>
        <w:pStyle w:val="ListBullet"/>
      </w:pPr>
      <w:r>
        <w:t>Koppeling Management Review (PM_VBS01_14): incidententrends als input</w:t>
      </w:r>
    </w:p>
    <w:p>
      <w:pPr>
        <w:pStyle w:val="Heading1"/>
      </w:pPr>
      <w:r>
        <w:rPr>
          <w:color w:val="003366"/>
          <w:sz w:val="28"/>
        </w:rPr>
        <w:t>8 Trendanalyse</w:t>
      </w:r>
    </w:p>
    <w:p>
      <w:pPr>
        <w:pStyle w:val="ListBullet"/>
      </w:pPr>
      <w:r>
        <w:t>Jaarlijkse analyse van incidentenpatronen door HSE Manager</w:t>
      </w:r>
    </w:p>
    <w:p>
      <w:pPr>
        <w:pStyle w:val="ListBullet"/>
      </w:pPr>
      <w:r>
        <w:t>Benchmark tegen sectorgemiddelden (荷兰 chemische industrie)</w:t>
      </w:r>
    </w:p>
    <w:p>
      <w:pPr>
        <w:pStyle w:val="ListBullet"/>
      </w:pPr>
      <w:r>
        <w:t>Input voor VBS-verbetering en risicobeoordeling (Element 2)</w:t>
      </w:r>
    </w:p>
    <w:p>
      <w:pPr>
        <w:pStyle w:val="Heading2"/>
      </w:pPr>
      <w:r>
        <w:rPr>
          <w:color w:val="003366"/>
          <w:sz w:val="24"/>
        </w:rPr>
        <w:t>Bronnenlijst</w:t>
      </w:r>
    </w:p>
    <w:p>
      <w:r>
        <w:t>[1] Seveso III Richtlijn 2012/18/EU, artikel 14(3)</w:t>
      </w:r>
    </w:p>
    <w:p>
      <w:r>
        <w:t>[2] NTA 8620:2020, paragraaf 10.3</w:t>
      </w:r>
    </w:p>
    <w:p>
      <w:r>
        <w:t>[3] TRIPOD Beta — Reason, J. (1997), Managing the Risks of Organizational Accidents</w:t>
      </w:r>
    </w:p>
    <w:p>
      <w:r>
        <w:t>[4] BSCAT — Barrier and Systematic Cause Analysis Technique, DNV</w:t>
      </w:r>
    </w:p>
    <w:p>
      <w:pPr>
        <w:pStyle w:val="Heading2"/>
      </w:pPr>
      <w:r>
        <w:rPr>
          <w:color w:val="003366"/>
          <w:sz w:val="24"/>
        </w:rPr>
        <w:t>TierVerify Log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Seveso III art. 14(3) onderzoeksplicht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Richtlijn 2012/18/EU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NTA 8620 par. 10.3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NTA 8620:2020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TRIPOD Beta methodiek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Reason, 1997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BSCAT methodiek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DNV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