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03366"/>
          <w:sz w:val="36"/>
        </w:rPr>
        <w:t>Informatievoorziening Omwonenden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20"/>
              </w:rPr>
              <w:t>Project: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Phoenix Metals — VBS Element 4 (BRZO VI)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Type: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Procedure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Auteur: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JvG Consultancy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Versie: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1.0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Datum: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29 april 2026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20"/>
              </w:rPr>
              <w:t>Status: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Vastgesteld</w:t>
            </w:r>
          </w:p>
        </w:tc>
      </w:tr>
    </w:tbl>
    <w:p/>
    <w:p>
      <w:pPr>
        <w:pStyle w:val="Heading2"/>
      </w:pPr>
      <w:r>
        <w:rPr>
          <w:color w:val="003366"/>
          <w:sz w:val="24"/>
        </w:rPr>
        <w:t>Documentbeheersing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216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Wijziging</w:t>
            </w:r>
          </w:p>
        </w:tc>
      </w:tr>
      <w:tr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0.1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29-04-2026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JvG Consultancy</w:t>
            </w:r>
          </w:p>
        </w:tc>
        <w:tc>
          <w:tcPr>
            <w:tcW w:type="dxa" w:w="216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Concept</w:t>
            </w:r>
          </w:p>
        </w:tc>
      </w:tr>
      <w:tr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1.0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29-04-2026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JvG Consultancy</w:t>
            </w:r>
          </w:p>
        </w:tc>
        <w:tc>
          <w:tcPr>
            <w:tcW w:type="dxa" w:w="216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Vastgesteld</w:t>
            </w:r>
          </w:p>
        </w:tc>
      </w:tr>
    </w:tbl>
    <w:p/>
    <w:p>
      <w:pPr>
        <w:pStyle w:val="Heading2"/>
      </w:pPr>
      <w:r>
        <w:rPr>
          <w:color w:val="003366"/>
          <w:sz w:val="24"/>
        </w:rPr>
        <w:t>Inhoudsopgave</w:t>
      </w:r>
    </w:p>
    <w:p>
      <w:r>
        <w:t>[Zie koppenstructuur hieronder]</w:t>
      </w:r>
    </w:p>
    <w:p>
      <w:pPr>
        <w:pStyle w:val="Heading1"/>
      </w:pPr>
      <w:r>
        <w:rPr>
          <w:color w:val="003366"/>
          <w:sz w:val="28"/>
        </w:rPr>
        <w:t>1 Inleiding</w:t>
      </w:r>
    </w:p>
    <w:p>
      <w:r>
        <w:t>Dit document beschrijft de procedure voor informatieverstrekking aan omwonenden en andere belanghebbenden, conform Seveso III art. 14 [1] en BRZO 1999 [2]. Doel: omwonenden zijn adequaat geïnformeerd over veiligheidsrisico's en weten hoe te handelen bij een noodsituatie.</w:t>
      </w:r>
    </w:p>
    <w:p>
      <w:pPr>
        <w:pStyle w:val="Heading1"/>
      </w:pPr>
      <w:r>
        <w:rPr>
          <w:color w:val="003366"/>
          <w:sz w:val="28"/>
        </w:rPr>
        <w:t>2 Wettelijk Kader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Wetgeving</w:t>
            </w:r>
          </w:p>
        </w:tc>
        <w:tc>
          <w:tcPr>
            <w:tcW w:type="dxa" w:w="432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Relevantie</w:t>
            </w:r>
          </w:p>
        </w:tc>
      </w:tr>
      <w:tr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Seveso III art. 14 [1]</w:t>
            </w:r>
          </w:p>
        </w:tc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Informatieverplichting aan publiek over veiligheidsmaatregelen</w:t>
            </w:r>
          </w:p>
        </w:tc>
      </w:tr>
      <w:tr>
        <w:tc>
          <w:tcPr>
            <w:tcW w:type="dxa" w:w="432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BRZO 1999 art. 25-26 [2]</w:t>
            </w:r>
          </w:p>
        </w:tc>
        <w:tc>
          <w:tcPr>
            <w:tcW w:type="dxa" w:w="432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Actieve informatieverstrekking aan omwonenden</w:t>
            </w:r>
          </w:p>
        </w:tc>
      </w:tr>
      <w:tr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Wet open overheid (Woo) [3]</w:t>
            </w:r>
          </w:p>
        </w:tc>
        <w:tc>
          <w:tcPr>
            <w:tcW w:type="dxa" w:w="432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Transparantie overheidsinformatie, inclusief VBS-samenvattingen</w:t>
            </w:r>
          </w:p>
        </w:tc>
      </w:tr>
    </w:tbl>
    <w:p>
      <w:pPr>
        <w:pStyle w:val="Heading1"/>
      </w:pPr>
      <w:r>
        <w:rPr>
          <w:color w:val="003366"/>
          <w:sz w:val="28"/>
        </w:rPr>
        <w:t>3 Doelgroepen</w:t>
      </w:r>
    </w:p>
    <w:p>
      <w:pPr>
        <w:pStyle w:val="ListBullet"/>
      </w:pPr>
      <w:r>
        <w:t>Omwonenden: woningen binnen het effectgebied (bepaald via QRA/ringonderzoek)</w:t>
      </w:r>
    </w:p>
    <w:p>
      <w:pPr>
        <w:pStyle w:val="ListBullet"/>
      </w:pPr>
      <w:r>
        <w:t>Bedrijfsleven in de omgeving: aangrenzende bedrijven en industrieterreinen</w:t>
      </w:r>
    </w:p>
    <w:p>
      <w:pPr>
        <w:pStyle w:val="ListBullet"/>
      </w:pPr>
      <w:r>
        <w:t>Scholen en zorginstellingen: binnen effectgebied</w:t>
      </w:r>
    </w:p>
    <w:p>
      <w:pPr>
        <w:pStyle w:val="ListBullet"/>
      </w:pPr>
      <w:r>
        <w:t>Gemeente en provincie: als bestuursorgaan en informatieverspreider</w:t>
      </w:r>
    </w:p>
    <w:p>
      <w:pPr>
        <w:pStyle w:val="Heading1"/>
      </w:pPr>
      <w:r>
        <w:rPr>
          <w:color w:val="003366"/>
          <w:sz w:val="28"/>
        </w:rPr>
        <w:t>4 Informatiecontent</w:t>
      </w:r>
    </w:p>
    <w:p>
      <w:pPr>
        <w:pStyle w:val="Heading2"/>
      </w:pPr>
      <w:r>
        <w:rPr>
          <w:color w:val="003366"/>
          <w:sz w:val="24"/>
        </w:rPr>
        <w:t>4.1 Veiligheidsinformatie</w:t>
      </w:r>
    </w:p>
    <w:p>
      <w:pPr>
        <w:pStyle w:val="ListBullet"/>
      </w:pPr>
      <w:r>
        <w:t>Welke gevaarlijke stoffen zijn aanwezig (algemene categorieën, geen exacte hoeveelheden)</w:t>
      </w:r>
    </w:p>
    <w:p>
      <w:pPr>
        <w:pStyle w:val="ListBullet"/>
      </w:pPr>
      <w:r>
        <w:t>Welke risico's zijn geïdentificeerd (brand, explosie, toxiciteit)</w:t>
      </w:r>
    </w:p>
    <w:p>
      <w:pPr>
        <w:pStyle w:val="ListBullet"/>
      </w:pPr>
      <w:r>
        <w:t>Welke maatregelen het bedrijf heeft genomen ter beheersing</w:t>
      </w:r>
    </w:p>
    <w:p>
      <w:pPr>
        <w:pStyle w:val="Heading2"/>
      </w:pPr>
      <w:r>
        <w:rPr>
          <w:color w:val="003366"/>
          <w:sz w:val="24"/>
        </w:rPr>
        <w:t>4.2 Gedrag bij alarm</w:t>
      </w:r>
    </w:p>
    <w:p>
      <w:pPr>
        <w:pStyle w:val="ListBullet"/>
      </w:pPr>
      <w:r>
        <w:t>Schuilinstructies: ramen en deuren sluiten, ventilatie uit, naar binnen gaan</w:t>
      </w:r>
    </w:p>
    <w:p>
      <w:pPr>
        <w:pStyle w:val="ListBullet"/>
      </w:pPr>
      <w:r>
        <w:t>Evacuatie-instructies: alleen op aanwijzing van overheid/hulpdiensten</w:t>
      </w:r>
    </w:p>
    <w:p>
      <w:pPr>
        <w:pStyle w:val="ListBullet"/>
      </w:pPr>
      <w:r>
        <w:t>Niet bellen naar het bedrijf (lijnen vrijhouden voor hulpdiensten)</w:t>
      </w:r>
    </w:p>
    <w:p>
      <w:pPr>
        <w:pStyle w:val="ListBullet"/>
      </w:pPr>
      <w:r>
        <w:t>Contactgegevens: bedrijf 24/7-nummer, gemeentelijk informatienummer, nationale crisistelefoon</w:t>
      </w:r>
    </w:p>
    <w:p>
      <w:pPr>
        <w:pStyle w:val="Heading1"/>
      </w:pPr>
      <w:r>
        <w:rPr>
          <w:color w:val="003366"/>
          <w:sz w:val="28"/>
        </w:rPr>
        <w:t>5 Communicatiekanalen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Kanaal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Verantwoordelijke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Informatiebrochure (papier)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Bij eerste bezit; update bij wijziging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HSE Manager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Website / app bedrijfsinformatie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Continu beschikbaar; jaarlijkse review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Communicatie Manager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Informatieavond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Minimaal 1× per 5 jaar of bij aanmerkelijke wijziging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Directie + HSE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Jaarlijkse update brief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Jaarlijks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HSE Manager</w:t>
            </w:r>
          </w:p>
        </w:tc>
      </w:tr>
    </w:tbl>
    <w:p>
      <w:pPr>
        <w:pStyle w:val="Heading1"/>
      </w:pPr>
      <w:r>
        <w:rPr>
          <w:color w:val="003366"/>
          <w:sz w:val="28"/>
        </w:rPr>
        <w:t>6 Procedure bij Incident</w:t>
      </w:r>
    </w:p>
    <w:p>
      <w:pPr>
        <w:pStyle w:val="Heading2"/>
      </w:pPr>
      <w:r>
        <w:rPr>
          <w:color w:val="003366"/>
          <w:sz w:val="24"/>
        </w:rPr>
        <w:t>6.1 Wie communiceert</w:t>
      </w:r>
    </w:p>
    <w:p>
      <w:r>
        <w:t>Crisiscommunicatieverantwoordelijke (PM_VBS04_05) stuurt externe communicatie in afstemming met directie en gemeente.</w:t>
      </w:r>
    </w:p>
    <w:p>
      <w:pPr>
        <w:pStyle w:val="Heading2"/>
      </w:pPr>
      <w:r>
        <w:rPr>
          <w:color w:val="003366"/>
          <w:sz w:val="24"/>
        </w:rPr>
        <w:t>6.2 Wanneer</w:t>
      </w:r>
    </w:p>
    <w:p>
      <w:r>
        <w:t>Bij relevante emissie of noodsituatie met potentieel effect buiten het bedrijfsterrein — direct na vaststelling door BHV-coördinator.</w:t>
      </w:r>
    </w:p>
    <w:p>
      <w:pPr>
        <w:pStyle w:val="Heading2"/>
      </w:pPr>
      <w:r>
        <w:rPr>
          <w:color w:val="003366"/>
          <w:sz w:val="24"/>
        </w:rPr>
        <w:t>6.3 Inhoud noodmededeling</w:t>
      </w:r>
    </w:p>
    <w:p>
      <w:pPr>
        <w:pStyle w:val="ListBullet"/>
      </w:pPr>
      <w:r>
        <w:t>Aard van het incident</w:t>
      </w:r>
    </w:p>
    <w:p>
      <w:pPr>
        <w:pStyle w:val="ListBullet"/>
      </w:pPr>
      <w:r>
        <w:t>Welke stoffen betrokken</w:t>
      </w:r>
    </w:p>
    <w:p>
      <w:pPr>
        <w:pStyle w:val="ListBullet"/>
      </w:pPr>
      <w:r>
        <w:t>Wat omwonenden moeten doen (schuilen/evacueren)</w:t>
      </w:r>
    </w:p>
    <w:p>
      <w:pPr>
        <w:pStyle w:val="ListBullet"/>
      </w:pPr>
      <w:r>
        <w:t>Contactgegevens voor vragen</w:t>
      </w:r>
    </w:p>
    <w:p>
      <w:pPr>
        <w:pStyle w:val="Heading2"/>
      </w:pPr>
      <w:r>
        <w:rPr>
          <w:color w:val="003366"/>
          <w:sz w:val="24"/>
        </w:rPr>
        <w:t>6.4 All-clear melding</w:t>
      </w:r>
    </w:p>
    <w:p>
      <w:r>
        <w:t>Wanneer het incident onder controle is: melding 'incident voorbij' via dezelfde kanalen.</w:t>
      </w:r>
    </w:p>
    <w:p>
      <w:pPr>
        <w:pStyle w:val="Heading1"/>
      </w:pPr>
      <w:r>
        <w:rPr>
          <w:color w:val="003366"/>
          <w:sz w:val="28"/>
        </w:rPr>
        <w:t>7 Documentatie &amp; Archivering</w:t>
      </w:r>
    </w:p>
    <w:p>
      <w:pPr>
        <w:pStyle w:val="ListBullet"/>
      </w:pPr>
      <w:r>
        <w:t>Distributielijst: actueel overzicht ontvangers met adresgegevens</w:t>
      </w:r>
    </w:p>
    <w:p>
      <w:pPr>
        <w:pStyle w:val="ListBullet"/>
      </w:pPr>
      <w:r>
        <w:t>Versiebeheer: elke versie van informatiemateriaal gearchiveerd</w:t>
      </w:r>
    </w:p>
    <w:p>
      <w:pPr>
        <w:pStyle w:val="ListBullet"/>
      </w:pPr>
      <w:r>
        <w:t>Bewaartermijn: 10 jaar conform BRZO [2]</w:t>
      </w:r>
    </w:p>
    <w:p>
      <w:pPr>
        <w:pStyle w:val="Heading2"/>
      </w:pPr>
      <w:r>
        <w:rPr>
          <w:color w:val="003366"/>
          <w:sz w:val="24"/>
        </w:rPr>
        <w:t>Bronnenlijst</w:t>
      </w:r>
    </w:p>
    <w:p>
      <w:r>
        <w:t>[1] Seveso III Richtlijn 2012/18/EU, artikel 14</w:t>
      </w:r>
    </w:p>
    <w:p>
      <w:r>
        <w:t>[2] Besluit risico's zware ongevallen 1999 (BRZO), art. 25-26</w:t>
      </w:r>
    </w:p>
    <w:p>
      <w:r>
        <w:t>[3] Wet open overheid (Woo), Wet van 26 mei 2022</w:t>
      </w:r>
    </w:p>
    <w:p>
      <w:r>
        <w:t>[4] NTA 8620:2020 — Veiligheidsmanagementsystemen voor Seveso-inrichtingen</w:t>
      </w:r>
    </w:p>
    <w:p>
      <w:pPr>
        <w:pStyle w:val="Heading2"/>
      </w:pPr>
      <w:r>
        <w:rPr>
          <w:color w:val="003366"/>
          <w:sz w:val="24"/>
        </w:rPr>
        <w:t>TierVerify Log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2880"/>
            <w:shd w:fill="003366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Seveso III art. 14 informatieverplichting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Richtlijn 2012/18/EU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✅ Gedekt</w:t>
            </w:r>
          </w:p>
        </w:tc>
      </w:tr>
      <w:tr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BRZO art. 25-26 actieve informatieverstrekking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BRZO 1999</w:t>
            </w:r>
          </w:p>
        </w:tc>
        <w:tc>
          <w:tcPr>
            <w:tcW w:type="dxa" w:w="2880"/>
            <w:shd w:fill="F3F4F6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✅ Gedekt</w:t>
            </w:r>
          </w:p>
        </w:tc>
      </w:tr>
      <w:tr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Bewaartermijnen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BRZO 1999</w:t>
            </w:r>
          </w:p>
        </w:tc>
        <w:tc>
          <w:tcPr>
            <w:tcW w:type="dxa" w:w="2880"/>
          </w:tcPr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>✅ Gedekt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