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36"/>
        </w:rPr>
        <w:t>Externe Hulpdiensten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Project: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4 (BRZO VI)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Type: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Auteur: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Versie: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Datum: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0.1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Concept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Inhoudsopgave</w:t>
      </w:r>
    </w:p>
    <w:p>
      <w:r>
        <w:t>[Zie koppenstructuur hieronder]</w:t>
      </w:r>
    </w:p>
    <w:p>
      <w:pPr>
        <w:pStyle w:val="Heading1"/>
      </w:pPr>
      <w:r>
        <w:rPr>
          <w:color w:val="003366"/>
          <w:sz w:val="28"/>
        </w:rPr>
        <w:t>1 Inleiding</w:t>
      </w:r>
    </w:p>
    <w:p>
      <w:r>
        <w:t>Dit document beschrijft de afspraken en samenwerking met externe hulpdiensten, conform Seveso III art. 12(1)(f) [1] en BRZO 1999 [2]. Doel: adequate externe ondersteuning bij noodsituaties door tijdige afstemming, informatievoorziening en gezamenlijke oefening.</w:t>
      </w:r>
    </w:p>
    <w:p>
      <w:pPr>
        <w:pStyle w:val="Heading1"/>
      </w:pPr>
      <w:r>
        <w:rPr>
          <w:color w:val="003366"/>
          <w:sz w:val="28"/>
        </w:rPr>
        <w:t>2 Overzicht Hulpdiensten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Hulpdienst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Bereikbaarheid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Regionale Brandweer (Veiligheidsregio)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112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Bestrijding brand, chemisch incident, technische hulpverlening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Ambulance / GHOR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112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Medische hulpverlening, geweldsaanpak, triage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Politie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112 / 0900-8844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Afzetting, evacuatie, ordehandhaving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Kustwacht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0223-656565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Indien relevant: incidenten nabij kust/water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Vergiftigingeninformatie-centrum (NVIC)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030-2748888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Advies bij blootstelling giftige stoffen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Rijkswaterstaat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0800-8002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Indien relevant: waterbeheer, scheepvaart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3 Formele Afspraken</w:t>
      </w:r>
    </w:p>
    <w:p>
      <w:pPr>
        <w:pStyle w:val="Heading2"/>
      </w:pPr>
      <w:r>
        <w:rPr>
          <w:color w:val="003366"/>
          <w:sz w:val="24"/>
        </w:rPr>
        <w:t>3.1 Convenant Brandweer</w:t>
      </w:r>
    </w:p>
    <w:p>
      <w:pPr>
        <w:pStyle w:val="ListBullet"/>
      </w:pPr>
      <w:r>
        <w:t>Inrijdpunten en sleutelkluislocaties vastgelegd</w:t>
      </w:r>
    </w:p>
    <w:p>
      <w:pPr>
        <w:pStyle w:val="ListBullet"/>
      </w:pPr>
      <w:r>
        <w:t>Bluswatervoorziening: aansluitpunten, capaciteit, hydrantenkaart</w:t>
      </w:r>
    </w:p>
    <w:p>
      <w:pPr>
        <w:pStyle w:val="ListBullet"/>
      </w:pPr>
      <w:r>
        <w:t>Stoffeninformatie: SIBC (Safety Information Book for Chemicals) beschikbaar gesteld</w:t>
      </w:r>
    </w:p>
    <w:p>
      <w:pPr>
        <w:pStyle w:val="ListBullet"/>
      </w:pPr>
      <w:r>
        <w:t>Jaarlijkse update van bedrijfsinformatie aan brandweer</w:t>
      </w:r>
    </w:p>
    <w:p>
      <w:pPr>
        <w:pStyle w:val="Heading2"/>
      </w:pPr>
      <w:r>
        <w:rPr>
          <w:color w:val="003366"/>
          <w:sz w:val="24"/>
        </w:rPr>
        <w:t>3.2 Afspraken GHOR</w:t>
      </w:r>
    </w:p>
    <w:p>
      <w:pPr>
        <w:pStyle w:val="ListBullet"/>
      </w:pPr>
      <w:r>
        <w:t>Geweldsaanpak conform regionaal medisch protocol</w:t>
      </w:r>
    </w:p>
    <w:p>
      <w:pPr>
        <w:pStyle w:val="ListBullet"/>
      </w:pPr>
      <w:r>
        <w:t>Triage-procedure bij meerdere gewonden (MGT — Mass Casualty Triage)</w:t>
      </w:r>
    </w:p>
    <w:p>
      <w:pPr>
        <w:pStyle w:val="ListBullet"/>
      </w:pPr>
      <w:r>
        <w:t>Slaap-/wachtdienst regeling: 24/7 bereikbaarheid bevestigd</w:t>
      </w:r>
    </w:p>
    <w:p>
      <w:pPr>
        <w:pStyle w:val="Heading2"/>
      </w:pPr>
      <w:r>
        <w:rPr>
          <w:color w:val="003366"/>
          <w:sz w:val="24"/>
        </w:rPr>
        <w:t>3.3 Afspraken Politie</w:t>
      </w:r>
    </w:p>
    <w:p>
      <w:pPr>
        <w:pStyle w:val="ListBullet"/>
      </w:pPr>
      <w:r>
        <w:t>Afzetting en verkeersregeling bij evacuatie</w:t>
      </w:r>
    </w:p>
    <w:p>
      <w:pPr>
        <w:pStyle w:val="ListBullet"/>
      </w:pPr>
      <w:r>
        <w:t>Ondersteuning bij crisiscommunicatie naar publiek</w:t>
      </w:r>
    </w:p>
    <w:p>
      <w:pPr>
        <w:pStyle w:val="Heading1"/>
      </w:pPr>
      <w:r>
        <w:rPr>
          <w:color w:val="003366"/>
          <w:sz w:val="28"/>
        </w:rPr>
        <w:t>4 Informatievoorziening aan Hulpdiensten</w:t>
      </w:r>
    </w:p>
    <w:p>
      <w:pPr>
        <w:pStyle w:val="ListBullet"/>
      </w:pPr>
      <w:r>
        <w:t>Stoffsencard (SIBC): actuele lijst gevaarlijke stoffen met eigenschappen en blusadviezen</w:t>
      </w:r>
    </w:p>
    <w:p>
      <w:pPr>
        <w:pStyle w:val="ListBullet"/>
      </w:pPr>
      <w:r>
        <w:t>Aanrijdbare kaart / plattegrond: inrijdpunten, bluswateraansluitingen, verzamelpunten</w:t>
      </w:r>
    </w:p>
    <w:p>
      <w:pPr>
        <w:pStyle w:val="ListBullet"/>
      </w:pPr>
      <w:r>
        <w:t>Locaties gevaarlijke stoffen: opslag, pijpleidingen, installaties</w:t>
      </w:r>
    </w:p>
    <w:p>
      <w:pPr>
        <w:pStyle w:val="ListBullet"/>
      </w:pPr>
      <w:r>
        <w:t>Contactgegevens 24/7: BHV-coördinator, technische dienst, HSE Manager</w:t>
      </w:r>
    </w:p>
    <w:p>
      <w:pPr>
        <w:pStyle w:val="Heading1"/>
      </w:pPr>
      <w:r>
        <w:rPr>
          <w:color w:val="003366"/>
          <w:sz w:val="28"/>
        </w:rPr>
        <w:t>5 Gezamenlijke Oefeningen</w:t>
      </w:r>
    </w:p>
    <w:p>
      <w:r>
        <w:t>Frequentie: minimaal 1× per jaar gezamenlijke oefening met brandweer [1][2].</w:t>
      </w:r>
    </w:p>
    <w:p>
      <w:r>
        <w:t>Scenario-rotatie: brand, chemische vrijval, terroristische dreiging, natuurramp.</w:t>
      </w:r>
    </w:p>
    <w:p>
      <w:r>
        <w:t>Evaluatie: na elke oefening worden verbeteracties gedocumenteerd en opgevolgd. Koppeling met Oefenprogramma (PM_VBS04_07).</w:t>
      </w:r>
    </w:p>
    <w:p>
      <w:pPr>
        <w:pStyle w:val="Heading1"/>
      </w:pPr>
      <w:r>
        <w:rPr>
          <w:color w:val="003366"/>
          <w:sz w:val="28"/>
        </w:rPr>
        <w:t>6 Communicatieprotocollen</w:t>
      </w:r>
    </w:p>
    <w:p>
      <w:pPr>
        <w:pStyle w:val="Heading2"/>
      </w:pPr>
      <w:r>
        <w:rPr>
          <w:color w:val="003366"/>
          <w:sz w:val="24"/>
        </w:rPr>
        <w:t>6.1 112-procedure</w:t>
      </w:r>
    </w:p>
    <w:p>
      <w:r>
        <w:t>Bij levensbedreigende noodsituatie: direct 112 bellen. BHV-coördinator informeert meldkamer met bedrijfsnaam, locatie, aard incident en stoffen.</w:t>
      </w:r>
    </w:p>
    <w:p>
      <w:pPr>
        <w:pStyle w:val="Heading2"/>
      </w:pPr>
      <w:r>
        <w:rPr>
          <w:color w:val="003366"/>
          <w:sz w:val="24"/>
        </w:rPr>
        <w:t>6.2 Meldkamerverbinding</w:t>
      </w:r>
    </w:p>
    <w:p>
      <w:r>
        <w:t>BHV-coördinator fungeert als liaison met meldkamer. Protocollen voor update-momenten: bij aankomst hulpdiensten, elke 30 minuten, bij escalatie.</w:t>
      </w:r>
    </w:p>
    <w:p>
      <w:pPr>
        <w:pStyle w:val="Heading2"/>
      </w:pPr>
      <w:r>
        <w:rPr>
          <w:color w:val="003366"/>
          <w:sz w:val="24"/>
        </w:rPr>
        <w:t>6.3 On-site aanspreekpunt</w:t>
      </w:r>
    </w:p>
    <w:p>
      <w:r>
        <w:t>BHV-coördinator is het vaste aanspreekpunt voor hulpdiensten op locatie. Herkenbaar aan oranje BHV-vest. Bevoegdheid: operatieel bevel tot afruil met brandweer-officier.</w:t>
      </w:r>
    </w:p>
    <w:p>
      <w:pPr>
        <w:pStyle w:val="Heading2"/>
      </w:pPr>
      <w:r>
        <w:rPr>
          <w:color w:val="003366"/>
          <w:sz w:val="24"/>
        </w:rPr>
        <w:t>Bronnenlijst</w:t>
      </w:r>
    </w:p>
    <w:p>
      <w:r>
        <w:t>[1] Seveso III Richtlijn 2012/18/EU, artikel 12(1)(f)</w:t>
      </w:r>
    </w:p>
    <w:p>
      <w:r>
        <w:t>[2] Besluit risico's zware ongevallen 1999 (BRZO)</w:t>
      </w:r>
    </w:p>
    <w:p>
      <w:r>
        <w:t>[3] NTA 8620:2020 — Veiligheidsmanagementsystemen voor Seveso-inrichtingen</w:t>
      </w:r>
    </w:p>
    <w:p>
      <w:r>
        <w:t>[4] Wet veiligheidsregio's — samenwerking hulpverleningsdiensten</w:t>
      </w:r>
    </w:p>
    <w:p>
      <w:pPr>
        <w:pStyle w:val="Heading2"/>
      </w:pPr>
      <w:r>
        <w:rPr>
          <w:color w:val="003366"/>
          <w:sz w:val="24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art. 12(1)(f) compliance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Richtlijn 2012/18/EU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Brandweerconvenant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Regionaal convenant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Oefenfrequentie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