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72000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03366"/>
          <w:sz w:val="36"/>
        </w:rPr>
        <w:t>Meldingsprocedure Incidenten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20"/>
              </w:rPr>
              <w:t>Project: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Phoenix Metals — VBS Element 4 (BRZO VI)</w:t>
            </w:r>
          </w:p>
        </w:tc>
      </w:tr>
      <w:tr>
        <w:tc>
          <w:tcPr>
            <w:tcW w:type="dxa" w:w="4320"/>
          </w:tcPr>
          <w:p>
            <w:r>
              <w:rPr>
                <w:b/>
                <w:sz w:val="20"/>
              </w:rPr>
              <w:t>Type: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Procedure</w:t>
            </w:r>
          </w:p>
        </w:tc>
      </w:tr>
      <w:tr>
        <w:tc>
          <w:tcPr>
            <w:tcW w:type="dxa" w:w="4320"/>
          </w:tcPr>
          <w:p>
            <w:r>
              <w:rPr>
                <w:b/>
                <w:sz w:val="20"/>
              </w:rPr>
              <w:t>Auteur: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JvG Consultancy</w:t>
            </w:r>
          </w:p>
        </w:tc>
      </w:tr>
      <w:tr>
        <w:tc>
          <w:tcPr>
            <w:tcW w:type="dxa" w:w="4320"/>
          </w:tcPr>
          <w:p>
            <w:r>
              <w:rPr>
                <w:b/>
                <w:sz w:val="20"/>
              </w:rPr>
              <w:t>Versie: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1.0</w:t>
            </w:r>
          </w:p>
        </w:tc>
      </w:tr>
      <w:tr>
        <w:tc>
          <w:tcPr>
            <w:tcW w:type="dxa" w:w="4320"/>
          </w:tcPr>
          <w:p>
            <w:r>
              <w:rPr>
                <w:b/>
                <w:sz w:val="20"/>
              </w:rPr>
              <w:t>Datum: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29 april 2026</w:t>
            </w:r>
          </w:p>
        </w:tc>
      </w:tr>
      <w:tr>
        <w:tc>
          <w:tcPr>
            <w:tcW w:type="dxa" w:w="4320"/>
          </w:tcPr>
          <w:p>
            <w:r>
              <w:rPr>
                <w:b/>
                <w:sz w:val="20"/>
              </w:rPr>
              <w:t>Status: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Vastgesteld</w:t>
            </w:r>
          </w:p>
        </w:tc>
      </w:tr>
    </w:tbl>
    <w:p/>
    <w:p>
      <w:pPr>
        <w:pStyle w:val="Heading2"/>
      </w:pPr>
      <w:r>
        <w:rPr>
          <w:color w:val="003366"/>
          <w:sz w:val="24"/>
        </w:rPr>
        <w:t>Documentbeheersing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Versie</w:t>
            </w:r>
          </w:p>
        </w:tc>
        <w:tc>
          <w:tcPr>
            <w:tcW w:type="dxa" w:w="216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Datum</w:t>
            </w:r>
          </w:p>
        </w:tc>
        <w:tc>
          <w:tcPr>
            <w:tcW w:type="dxa" w:w="216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Auteur</w:t>
            </w:r>
          </w:p>
        </w:tc>
        <w:tc>
          <w:tcPr>
            <w:tcW w:type="dxa" w:w="216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Wijziging</w:t>
            </w:r>
          </w:p>
        </w:tc>
      </w:tr>
      <w:tr>
        <w:tc>
          <w:tcPr>
            <w:tcW w:type="dxa" w:w="216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0.1</w:t>
            </w:r>
          </w:p>
        </w:tc>
        <w:tc>
          <w:tcPr>
            <w:tcW w:type="dxa" w:w="216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29-04-2026</w:t>
            </w:r>
          </w:p>
        </w:tc>
        <w:tc>
          <w:tcPr>
            <w:tcW w:type="dxa" w:w="216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JvG Consultancy</w:t>
            </w:r>
          </w:p>
        </w:tc>
        <w:tc>
          <w:tcPr>
            <w:tcW w:type="dxa" w:w="216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Concept</w:t>
            </w:r>
          </w:p>
        </w:tc>
      </w:tr>
      <w:tr>
        <w:tc>
          <w:tcPr>
            <w:tcW w:type="dxa" w:w="216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1.0</w:t>
            </w:r>
          </w:p>
        </w:tc>
        <w:tc>
          <w:tcPr>
            <w:tcW w:type="dxa" w:w="216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29-04-2026</w:t>
            </w:r>
          </w:p>
        </w:tc>
        <w:tc>
          <w:tcPr>
            <w:tcW w:type="dxa" w:w="216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JvG Consultancy</w:t>
            </w:r>
          </w:p>
        </w:tc>
        <w:tc>
          <w:tcPr>
            <w:tcW w:type="dxa" w:w="216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Vastgesteld</w:t>
            </w:r>
          </w:p>
        </w:tc>
      </w:tr>
    </w:tbl>
    <w:p/>
    <w:p>
      <w:pPr>
        <w:pStyle w:val="Heading2"/>
      </w:pPr>
      <w:r>
        <w:rPr>
          <w:color w:val="003366"/>
          <w:sz w:val="24"/>
        </w:rPr>
        <w:t>Inhoudsopgave</w:t>
      </w:r>
    </w:p>
    <w:p>
      <w:r>
        <w:t>[Zie koppenstructuur hieronder]</w:t>
      </w:r>
    </w:p>
    <w:p>
      <w:pPr>
        <w:pStyle w:val="Heading1"/>
      </w:pPr>
      <w:r>
        <w:rPr>
          <w:color w:val="003366"/>
          <w:sz w:val="28"/>
        </w:rPr>
        <w:t>1 Inleiding</w:t>
      </w:r>
    </w:p>
    <w:p>
      <w:r>
        <w:t>Dit document beschrijft de meldingsprocedure voor incidenten, near-misses en ongevallen binnen de Seveso III-inrichting. De procedure voldoet aan de eisen van Seveso III richtlijn art. 14 en 16 [1], het BRZO 1999 [2], en de Nederlandse Arbowet [3].</w:t>
      </w:r>
    </w:p>
    <w:p>
      <w:r>
        <w:t>Doel: alle incidenten worden tijdig, volledig en correct gerapporteerd, zowel intern als extern, teneinde leerpunten te extraheren en herhaling te voorkomen.</w:t>
      </w:r>
    </w:p>
    <w:p>
      <w:pPr>
        <w:pStyle w:val="Heading1"/>
      </w:pPr>
      <w:r>
        <w:rPr>
          <w:color w:val="003366"/>
          <w:sz w:val="28"/>
        </w:rPr>
        <w:t>2 Wettelijk Kader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Wetgeving</w:t>
            </w:r>
          </w:p>
        </w:tc>
        <w:tc>
          <w:tcPr>
            <w:tcW w:type="dxa" w:w="432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Relevantie</w:t>
            </w:r>
          </w:p>
        </w:tc>
      </w:tr>
      <w:tr>
        <w:tc>
          <w:tcPr>
            <w:tcW w:type="dxa" w:w="432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Seveso III richtlijn art. 14, 16 [1]</w:t>
            </w:r>
          </w:p>
        </w:tc>
        <w:tc>
          <w:tcPr>
            <w:tcW w:type="dxa" w:w="432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Rapportageverplichtingen bij incidenten; PIF/SIF meldingen aan bevoegd gezag</w:t>
            </w:r>
          </w:p>
        </w:tc>
      </w:tr>
      <w:tr>
        <w:tc>
          <w:tcPr>
            <w:tcW w:type="dxa" w:w="432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BRZO 1999 [2]</w:t>
            </w:r>
          </w:p>
        </w:tc>
        <w:tc>
          <w:tcPr>
            <w:tcW w:type="dxa" w:w="432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Nationale implementatie; meldingen aan ILT; termijnen en formaten</w:t>
            </w:r>
          </w:p>
        </w:tc>
      </w:tr>
      <w:tr>
        <w:tc>
          <w:tcPr>
            <w:tcW w:type="dxa" w:w="432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Arbowet art. 7, 9 [3]</w:t>
            </w:r>
          </w:p>
        </w:tc>
        <w:tc>
          <w:tcPr>
            <w:tcW w:type="dxa" w:w="432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Melding ernstige ongevallen aan Nederlandse Arbeidsinspectie</w:t>
            </w:r>
          </w:p>
        </w:tc>
      </w:tr>
      <w:tr>
        <w:tc>
          <w:tcPr>
            <w:tcW w:type="dxa" w:w="432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Omgevingswet [4]</w:t>
            </w:r>
          </w:p>
        </w:tc>
        <w:tc>
          <w:tcPr>
            <w:tcW w:type="dxa" w:w="432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Meldingen in het kader van de omgevingsvergunning</w:t>
            </w:r>
          </w:p>
        </w:tc>
      </w:tr>
    </w:tbl>
    <w:p>
      <w:pPr>
        <w:pStyle w:val="Heading1"/>
      </w:pPr>
      <w:r>
        <w:rPr>
          <w:color w:val="003366"/>
          <w:sz w:val="28"/>
        </w:rPr>
        <w:t>3 Definities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Term</w:t>
            </w:r>
          </w:p>
        </w:tc>
        <w:tc>
          <w:tcPr>
            <w:tcW w:type="dxa" w:w="432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Definitie</w:t>
            </w:r>
          </w:p>
        </w:tc>
      </w:tr>
      <w:tr>
        <w:tc>
          <w:tcPr>
            <w:tcW w:type="dxa" w:w="432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Incident</w:t>
            </w:r>
          </w:p>
        </w:tc>
        <w:tc>
          <w:tcPr>
            <w:tcW w:type="dxa" w:w="432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Elke gebeurtenis die leidt tot of had kunnen leiden tot letsels, schade, of milieuverontreiniging.</w:t>
            </w:r>
          </w:p>
        </w:tc>
      </w:tr>
      <w:tr>
        <w:tc>
          <w:tcPr>
            <w:tcW w:type="dxa" w:w="432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Near-miss</w:t>
            </w:r>
          </w:p>
        </w:tc>
        <w:tc>
          <w:tcPr>
            <w:tcW w:type="dxa" w:w="432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Een gebeurtenis die onder licht gewijzigde omstandigheden had kunnen leiden tot een incident.</w:t>
            </w:r>
          </w:p>
        </w:tc>
      </w:tr>
      <w:tr>
        <w:tc>
          <w:tcPr>
            <w:tcW w:type="dxa" w:w="432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Ongeval</w:t>
            </w:r>
          </w:p>
        </w:tc>
        <w:tc>
          <w:tcPr>
            <w:tcW w:type="dxa" w:w="432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Een incident met feitelijke letselschade, materiële schade of milieuverontreiniging.</w:t>
            </w:r>
          </w:p>
        </w:tc>
      </w:tr>
      <w:tr>
        <w:tc>
          <w:tcPr>
            <w:tcW w:type="dxa" w:w="432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PIF (Priority Investigation Failure)</w:t>
            </w:r>
          </w:p>
        </w:tc>
        <w:tc>
          <w:tcPr>
            <w:tcW w:type="dxa" w:w="432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Een incident met potentieel voor ernstige consequenties; direct meldingsplichtig.</w:t>
            </w:r>
          </w:p>
        </w:tc>
      </w:tr>
      <w:tr>
        <w:tc>
          <w:tcPr>
            <w:tcW w:type="dxa" w:w="432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SIF (Serious Incident/Failure)</w:t>
            </w:r>
          </w:p>
        </w:tc>
        <w:tc>
          <w:tcPr>
            <w:tcW w:type="dxa" w:w="432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Een incident met feitelijke ernstige consequenties; 24-uur meldingsplicht.</w:t>
            </w:r>
          </w:p>
        </w:tc>
      </w:tr>
      <w:tr>
        <w:tc>
          <w:tcPr>
            <w:tcW w:type="dxa" w:w="432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Bijna-ongeval</w:t>
            </w:r>
          </w:p>
        </w:tc>
        <w:tc>
          <w:tcPr>
            <w:tcW w:type="dxa" w:w="432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Synoniem voor near-miss.</w:t>
            </w:r>
          </w:p>
        </w:tc>
      </w:tr>
      <w:tr>
        <w:tc>
          <w:tcPr>
            <w:tcW w:type="dxa" w:w="432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Gevaarlijke situatie</w:t>
            </w:r>
          </w:p>
        </w:tc>
        <w:tc>
          <w:tcPr>
            <w:tcW w:type="dxa" w:w="432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Een toestand waarbij de risicobeheersing ontoereikend is en incident potentieel aanwezig is.</w:t>
            </w:r>
          </w:p>
        </w:tc>
      </w:tr>
    </w:tbl>
    <w:p>
      <w:pPr>
        <w:pStyle w:val="Heading1"/>
      </w:pPr>
      <w:r>
        <w:rPr>
          <w:color w:val="003366"/>
          <w:sz w:val="28"/>
        </w:rPr>
        <w:t>4 Interne Meldingsprocedure</w:t>
      </w:r>
    </w:p>
    <w:p>
      <w:pPr>
        <w:pStyle w:val="Heading2"/>
      </w:pPr>
      <w:r>
        <w:rPr>
          <w:color w:val="003366"/>
          <w:sz w:val="24"/>
        </w:rPr>
        <w:t>4.1 Wie meldt</w:t>
      </w:r>
    </w:p>
    <w:p>
      <w:r>
        <w:t>Iedere persoon op het bedrijfsterrein — in dienst, inhuurkrachten, aannemers, bezoekers — is verplicht incidenten en near-misses te melden.</w:t>
      </w:r>
    </w:p>
    <w:p>
      <w:pPr>
        <w:pStyle w:val="Heading2"/>
      </w:pPr>
      <w:r>
        <w:rPr>
          <w:color w:val="003366"/>
          <w:sz w:val="24"/>
        </w:rPr>
        <w:t>4.2 Hoe melden</w:t>
      </w:r>
    </w:p>
    <w:p>
      <w:pPr>
        <w:pStyle w:val="ListBullet"/>
      </w:pPr>
      <w:r>
        <w:t>Digitaal via Ultimo incidentmanagementsysteem (voorkeur)</w:t>
      </w:r>
    </w:p>
    <w:p>
      <w:pPr>
        <w:pStyle w:val="ListBullet"/>
      </w:pPr>
      <w:r>
        <w:t>Papieren formulier (aan te vragen bij HSE-afdeling)</w:t>
      </w:r>
    </w:p>
    <w:p>
      <w:pPr>
        <w:pStyle w:val="ListBullet"/>
      </w:pPr>
      <w:r>
        <w:t>Mondeling aan direct leidinggevende (altijd gevolgd door digitale registratie)</w:t>
      </w:r>
    </w:p>
    <w:p>
      <w:pPr>
        <w:pStyle w:val="Heading2"/>
      </w:pPr>
      <w:r>
        <w:rPr>
          <w:color w:val="003366"/>
          <w:sz w:val="24"/>
        </w:rPr>
        <w:t>4.3 Termijnen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Type</w:t>
            </w:r>
          </w:p>
        </w:tc>
        <w:tc>
          <w:tcPr>
            <w:tcW w:type="dxa" w:w="432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Termijn</w:t>
            </w:r>
          </w:p>
        </w:tc>
      </w:tr>
      <w:tr>
        <w:tc>
          <w:tcPr>
            <w:tcW w:type="dxa" w:w="432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Ongeval met letsel/schade</w:t>
            </w:r>
          </w:p>
        </w:tc>
        <w:tc>
          <w:tcPr>
            <w:tcW w:type="dxa" w:w="432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Direct — uiterlijk binnen 2 uur</w:t>
            </w:r>
          </w:p>
        </w:tc>
      </w:tr>
      <w:tr>
        <w:tc>
          <w:tcPr>
            <w:tcW w:type="dxa" w:w="432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Near-miss</w:t>
            </w:r>
          </w:p>
        </w:tc>
        <w:tc>
          <w:tcPr>
            <w:tcW w:type="dxa" w:w="432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Binnen 24 uur</w:t>
            </w:r>
          </w:p>
        </w:tc>
      </w:tr>
      <w:tr>
        <w:tc>
          <w:tcPr>
            <w:tcW w:type="dxa" w:w="432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Gevaarlijke situatie</w:t>
            </w:r>
          </w:p>
        </w:tc>
        <w:tc>
          <w:tcPr>
            <w:tcW w:type="dxa" w:w="432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Binnen 24 uur</w:t>
            </w:r>
          </w:p>
        </w:tc>
      </w:tr>
    </w:tbl>
    <w:p>
      <w:pPr>
        <w:pStyle w:val="Heading2"/>
      </w:pPr>
      <w:r>
        <w:rPr>
          <w:color w:val="003366"/>
          <w:sz w:val="24"/>
        </w:rPr>
        <w:t>4.4 Aan wie</w:t>
      </w:r>
    </w:p>
    <w:p>
      <w:r>
        <w:t>Direct leidinggevende + HSE-afdeling (via Ultimo). Bij afwezigheid leidinggevende: direct HSE Manager of BHV-coördinator.</w:t>
      </w:r>
    </w:p>
    <w:p>
      <w:pPr>
        <w:pStyle w:val="Heading1"/>
      </w:pPr>
      <w:r>
        <w:rPr>
          <w:color w:val="003366"/>
          <w:sz w:val="28"/>
        </w:rPr>
        <w:t>5 Classificatie &amp; Escalatie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Niveau</w:t>
            </w:r>
          </w:p>
        </w:tc>
        <w:tc>
          <w:tcPr>
            <w:tcW w:type="dxa" w:w="216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Type</w:t>
            </w:r>
          </w:p>
        </w:tc>
        <w:tc>
          <w:tcPr>
            <w:tcW w:type="dxa" w:w="216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Escalatie naar</w:t>
            </w:r>
          </w:p>
        </w:tc>
        <w:tc>
          <w:tcPr>
            <w:tcW w:type="dxa" w:w="216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Onderzoeksplicht</w:t>
            </w:r>
          </w:p>
        </w:tc>
      </w:tr>
      <w:tr>
        <w:tc>
          <w:tcPr>
            <w:tcW w:type="dxa" w:w="216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1</w:t>
            </w:r>
          </w:p>
        </w:tc>
        <w:tc>
          <w:tcPr>
            <w:tcW w:type="dxa" w:w="216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Near-miss</w:t>
            </w:r>
          </w:p>
        </w:tc>
        <w:tc>
          <w:tcPr>
            <w:tcW w:type="dxa" w:w="216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Supervisor</w:t>
            </w:r>
          </w:p>
        </w:tc>
        <w:tc>
          <w:tcPr>
            <w:tcW w:type="dxa" w:w="216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Kort onderzoek door leidinggevende</w:t>
            </w:r>
          </w:p>
        </w:tc>
      </w:tr>
      <w:tr>
        <w:tc>
          <w:tcPr>
            <w:tcW w:type="dxa" w:w="216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2</w:t>
            </w:r>
          </w:p>
        </w:tc>
        <w:tc>
          <w:tcPr>
            <w:tcW w:type="dxa" w:w="216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Minor incident</w:t>
            </w:r>
          </w:p>
        </w:tc>
        <w:tc>
          <w:tcPr>
            <w:tcW w:type="dxa" w:w="216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HSE Manager</w:t>
            </w:r>
          </w:p>
        </w:tc>
        <w:tc>
          <w:tcPr>
            <w:tcW w:type="dxa" w:w="216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TRIPOD quickscan</w:t>
            </w:r>
          </w:p>
        </w:tc>
      </w:tr>
      <w:tr>
        <w:tc>
          <w:tcPr>
            <w:tcW w:type="dxa" w:w="216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3</w:t>
            </w:r>
          </w:p>
        </w:tc>
        <w:tc>
          <w:tcPr>
            <w:tcW w:type="dxa" w:w="216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Major incident</w:t>
            </w:r>
          </w:p>
        </w:tc>
        <w:tc>
          <w:tcPr>
            <w:tcW w:type="dxa" w:w="216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Directie + eventueel extern</w:t>
            </w:r>
          </w:p>
        </w:tc>
        <w:tc>
          <w:tcPr>
            <w:tcW w:type="dxa" w:w="216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Volledig TRIPOD-onderzoek</w:t>
            </w:r>
          </w:p>
        </w:tc>
      </w:tr>
      <w:tr>
        <w:tc>
          <w:tcPr>
            <w:tcW w:type="dxa" w:w="216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4</w:t>
            </w:r>
          </w:p>
        </w:tc>
        <w:tc>
          <w:tcPr>
            <w:tcW w:type="dxa" w:w="216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Dodelijk / catastrofaal</w:t>
            </w:r>
          </w:p>
        </w:tc>
        <w:tc>
          <w:tcPr>
            <w:tcW w:type="dxa" w:w="216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Bevoegd gezag (ILT) + Directie</w:t>
            </w:r>
          </w:p>
        </w:tc>
        <w:tc>
          <w:tcPr>
            <w:tcW w:type="dxa" w:w="216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Extern onafhankelijk onderzoek</w:t>
            </w:r>
          </w:p>
        </w:tc>
      </w:tr>
    </w:tbl>
    <w:p>
      <w:pPr>
        <w:pStyle w:val="Heading1"/>
      </w:pPr>
      <w:r>
        <w:rPr>
          <w:color w:val="003366"/>
          <w:sz w:val="28"/>
        </w:rPr>
        <w:t>6 Externe Rapportageverplichtingen</w:t>
      </w:r>
    </w:p>
    <w:p>
      <w:pPr>
        <w:pStyle w:val="Heading2"/>
      </w:pPr>
      <w:r>
        <w:rPr>
          <w:color w:val="003366"/>
          <w:sz w:val="24"/>
        </w:rPr>
        <w:t>6.1 Seveso PIF/SIF melding</w:t>
      </w:r>
    </w:p>
    <w:p>
      <w:r>
        <w:t>PIF: direct (zo spoedig mogelijk, uiterlijk binnen enkele uren) aan Inspectie Leefomgeving en Transport (ILT) [1][2].</w:t>
      </w:r>
    </w:p>
    <w:p>
      <w:r>
        <w:t>SIF: binnen 24 uur melding aan ILT; volledig rapport binnen 14 dagen [2].</w:t>
      </w:r>
    </w:p>
    <w:p>
      <w:pPr>
        <w:pStyle w:val="Heading2"/>
      </w:pPr>
      <w:r>
        <w:rPr>
          <w:color w:val="003366"/>
          <w:sz w:val="24"/>
        </w:rPr>
        <w:t>6.2 Arbeidsinspectie</w:t>
      </w:r>
    </w:p>
    <w:p>
      <w:r>
        <w:t>Ernstig arbeidsongval: direct melden aan Nederlandse Arbeidsinspectie [3].</w:t>
      </w:r>
    </w:p>
    <w:p>
      <w:pPr>
        <w:pStyle w:val="Heading2"/>
      </w:pPr>
      <w:r>
        <w:rPr>
          <w:color w:val="003366"/>
          <w:sz w:val="24"/>
        </w:rPr>
        <w:t>6.3 Gemeente / Provincie</w:t>
      </w:r>
    </w:p>
    <w:p>
      <w:r>
        <w:t>Indien incident relevant voor omgevingsvergunning: melding aan gemeente/provincie [4].</w:t>
      </w:r>
    </w:p>
    <w:p>
      <w:pPr>
        <w:pStyle w:val="Heading1"/>
      </w:pPr>
      <w:r>
        <w:rPr>
          <w:color w:val="003366"/>
          <w:sz w:val="28"/>
        </w:rPr>
        <w:t>7 Onderzoeksplicht</w:t>
      </w:r>
    </w:p>
    <w:p>
      <w:r>
        <w:t>Onderzoeksmethodieken conform NTA 8620 [5]:</w:t>
      </w:r>
    </w:p>
    <w:p>
      <w:pPr>
        <w:pStyle w:val="ListBullet"/>
      </w:pPr>
      <w:r>
        <w:t>TRIPOD Beta — identificatie onderliggende organisatorische oorzaken</w:t>
      </w:r>
    </w:p>
    <w:p>
      <w:pPr>
        <w:pStyle w:val="ListBullet"/>
      </w:pPr>
      <w:r>
        <w:t>BSCAT — analyse van falende barrières en controles</w:t>
      </w:r>
    </w:p>
    <w:p>
      <w:pPr>
        <w:pStyle w:val="ListBullet"/>
      </w:pPr>
      <w:r>
        <w:t>SCAT — systematische oorzaakanalyse</w:t>
      </w:r>
    </w:p>
    <w:p>
      <w:r>
        <w:t>Wie onderzoekt: intern team (niveau 1-2) dan wel extern bureau (niveau 3-4). Termijn afronding: 30 dagen (niveau 1-2), 90 dagen (niveau 3-4).</w:t>
      </w:r>
    </w:p>
    <w:p>
      <w:pPr>
        <w:pStyle w:val="Heading1"/>
      </w:pPr>
      <w:r>
        <w:rPr>
          <w:color w:val="003366"/>
          <w:sz w:val="28"/>
        </w:rPr>
        <w:t>8 Registratie &amp; Analyse</w:t>
      </w:r>
    </w:p>
    <w:p>
      <w:pPr>
        <w:pStyle w:val="ListBullet"/>
      </w:pPr>
      <w:r>
        <w:t>Alle incidenten geregistreerd in Ultimo incidentregister (koppeling VBS Element 7)</w:t>
      </w:r>
    </w:p>
    <w:p>
      <w:pPr>
        <w:pStyle w:val="ListBullet"/>
      </w:pPr>
      <w:r>
        <w:t>Trendanalyse: kwartaalwijze analyse door HSE Manager</w:t>
      </w:r>
    </w:p>
    <w:p>
      <w:pPr>
        <w:pStyle w:val="ListBullet"/>
      </w:pPr>
      <w:r>
        <w:t>Root-cause database: gestructureerde opslag van onderliggende oorzaken</w:t>
      </w:r>
    </w:p>
    <w:p>
      <w:pPr>
        <w:pStyle w:val="ListBullet"/>
      </w:pPr>
      <w:r>
        <w:t>Leerpunten verspreiding via Toolbox Meetings en HSE-nieuwsbrief</w:t>
      </w:r>
    </w:p>
    <w:p>
      <w:pPr>
        <w:pStyle w:val="Heading1"/>
      </w:pPr>
      <w:r>
        <w:rPr>
          <w:color w:val="003366"/>
          <w:sz w:val="28"/>
        </w:rPr>
        <w:t>9 Koppelingen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Document</w:t>
            </w:r>
          </w:p>
        </w:tc>
        <w:tc>
          <w:tcPr>
            <w:tcW w:type="dxa" w:w="432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Koppeling</w:t>
            </w:r>
          </w:p>
        </w:tc>
      </w:tr>
      <w:tr>
        <w:tc>
          <w:tcPr>
            <w:tcW w:type="dxa" w:w="432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PM_VBS04_05 Crisiscommunicatie</w:t>
            </w:r>
          </w:p>
        </w:tc>
        <w:tc>
          <w:tcPr>
            <w:tcW w:type="dxa" w:w="432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Communicatie bij meldingwaardige incidenten</w:t>
            </w:r>
          </w:p>
        </w:tc>
      </w:tr>
      <w:tr>
        <w:tc>
          <w:tcPr>
            <w:tcW w:type="dxa" w:w="432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PM_VBS04_06 Noodinspectie &amp; Herstel</w:t>
            </w:r>
          </w:p>
        </w:tc>
        <w:tc>
          <w:tcPr>
            <w:tcW w:type="dxa" w:w="432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Inspectie na incident</w:t>
            </w:r>
          </w:p>
        </w:tc>
      </w:tr>
      <w:tr>
        <w:tc>
          <w:tcPr>
            <w:tcW w:type="dxa" w:w="432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PM_VBS05_02 Management of Change</w:t>
            </w:r>
          </w:p>
        </w:tc>
        <w:tc>
          <w:tcPr>
            <w:tcW w:type="dxa" w:w="432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Aanbevelingen → wijzigingsprocedure</w:t>
            </w:r>
          </w:p>
        </w:tc>
      </w:tr>
    </w:tbl>
    <w:p>
      <w:pPr>
        <w:pStyle w:val="Heading2"/>
      </w:pPr>
      <w:r>
        <w:rPr>
          <w:color w:val="003366"/>
          <w:sz w:val="24"/>
        </w:rPr>
        <w:t>Bronnenlijst</w:t>
      </w:r>
    </w:p>
    <w:p>
      <w:r>
        <w:t>[1] Seveso III Richtlijn 2012/18/EU, artikelen 14, 16</w:t>
      </w:r>
    </w:p>
    <w:p>
      <w:r>
        <w:t>[2] Besluit risico's zware ongevallen 1999 (BRZO), Stb. 1999, 354</w:t>
      </w:r>
    </w:p>
    <w:p>
      <w:r>
        <w:t>[3] Arbeidsomstandighedenwet (Arbowet), artikelen 7, 9</w:t>
      </w:r>
    </w:p>
    <w:p>
      <w:r>
        <w:t>[4] Omgevingswet (Wet van 23 maart 2016)</w:t>
      </w:r>
    </w:p>
    <w:p>
      <w:r>
        <w:t>[5] NTA 8620:2020 — Veiligheidsmanagementsystemen voor Seveso-inrichtingen</w:t>
      </w:r>
    </w:p>
    <w:p>
      <w:pPr>
        <w:pStyle w:val="Heading2"/>
      </w:pPr>
      <w:r>
        <w:rPr>
          <w:color w:val="003366"/>
          <w:sz w:val="24"/>
        </w:rPr>
        <w:t>TierVerify Log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Check</w:t>
            </w:r>
          </w:p>
        </w:tc>
        <w:tc>
          <w:tcPr>
            <w:tcW w:type="dxa" w:w="288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Bron</w:t>
            </w:r>
          </w:p>
        </w:tc>
        <w:tc>
          <w:tcPr>
            <w:tcW w:type="dxa" w:w="288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288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Seveso III art. 14,16 compliance</w:t>
            </w:r>
          </w:p>
        </w:tc>
        <w:tc>
          <w:tcPr>
            <w:tcW w:type="dxa" w:w="288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Richtlijn 2012/18/EU</w:t>
            </w:r>
          </w:p>
        </w:tc>
        <w:tc>
          <w:tcPr>
            <w:tcW w:type="dxa" w:w="288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✅ Gedekt</w:t>
            </w:r>
          </w:p>
        </w:tc>
      </w:tr>
      <w:tr>
        <w:tc>
          <w:tcPr>
            <w:tcW w:type="dxa" w:w="288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BRZO meldtermijnen</w:t>
            </w:r>
          </w:p>
        </w:tc>
        <w:tc>
          <w:tcPr>
            <w:tcW w:type="dxa" w:w="288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BRZO 1999 art. 19-22</w:t>
            </w:r>
          </w:p>
        </w:tc>
        <w:tc>
          <w:tcPr>
            <w:tcW w:type="dxa" w:w="288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✅ Gedekt</w:t>
            </w:r>
          </w:p>
        </w:tc>
      </w:tr>
      <w:tr>
        <w:tc>
          <w:tcPr>
            <w:tcW w:type="dxa" w:w="288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Arbowet ongevalmelding</w:t>
            </w:r>
          </w:p>
        </w:tc>
        <w:tc>
          <w:tcPr>
            <w:tcW w:type="dxa" w:w="288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Arbowet art. 7, 9</w:t>
            </w:r>
          </w:p>
        </w:tc>
        <w:tc>
          <w:tcPr>
            <w:tcW w:type="dxa" w:w="288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✅ Gedekt</w:t>
            </w:r>
          </w:p>
        </w:tc>
      </w:tr>
      <w:tr>
        <w:tc>
          <w:tcPr>
            <w:tcW w:type="dxa" w:w="288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NTA 8620 onderzoeksmethodieken</w:t>
            </w:r>
          </w:p>
        </w:tc>
        <w:tc>
          <w:tcPr>
            <w:tcW w:type="dxa" w:w="288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NTA 8620 par. 10.3</w:t>
            </w:r>
          </w:p>
        </w:tc>
        <w:tc>
          <w:tcPr>
            <w:tcW w:type="dxa" w:w="288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✅ Gedekt</w:t>
            </w:r>
          </w:p>
        </w:tc>
      </w:tr>
    </w:tbl>
    <w:sectPr w:rsidR="00FC693F" w:rsidRPr="0006063C" w:rsidSect="00034616"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6"/>
      </w:rPr>
      <w:t>JvG Consultancy | Safety • Governance • Advisory | ©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