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OEFENPROGRAMMA NOODPLANNEN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VBS Element 4 — Planning voor Noodsituaties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B.V. — IJmuiden</w:t>
      </w:r>
    </w:p>
    <w:p/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2026-PM-VBS-Element4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Programma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Operations Manager Phoenix Metals B.V.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spacing w:after="120"/>
      </w:pPr>
      <w:r>
        <w:t>Dit document definieert het jaarlijkse oefenprogramma voor Phoenix Metals B.V., gericht op het garanderen van adequate paraatheid bij noodsituaties [1][2]. Het programma waarborgt dat alle medewerkers, BHV-teamleden en het management bekend zijn met de noodprocedures en deze effectief kunnen uitvoeren.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pPr>
        <w:spacing w:after="120"/>
      </w:pPr>
      <w:r>
        <w:t>• Validatie van de operationalisatie van alle noodprocedures (VBS Element 4)</w:t>
        <w:br/>
        <w:t>• Borging van adequate responstijden bij incidenten</w:t>
        <w:br/>
        <w:t>• Training van besluitvorming onder druk (management team)</w:t>
        <w:br/>
        <w:t>• Aantonen van conformiteit met BRZO 2015 Art. 11 en NTA 8620 [1][2]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pPr>
        <w:spacing w:after="120"/>
      </w:pPr>
      <w:r>
        <w:t>• Alle noodprocedures zoals gedefinieerd in Document #02 (Scenario's) en Document #03 (BHV Plan)</w:t>
        <w:br/>
        <w:t>• Alle medewerkers van Phoenix Metals B.V.</w:t>
        <w:br/>
        <w:t>• Externe hulpdiensten (brandweer, ambulance, politie) waar relevant</w:t>
        <w:br/>
        <w:t>• Alle alarmniveaus (Groen t/m Zwart) zoals gedefinieerd in het Meta-Dossier [6]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pPr>
        <w:spacing w:after="120"/>
      </w:pPr>
      <w:r>
        <w:t>Het oefenprogramma is gebaseerd op de volgende wettelijke en normatieve kaders: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Artikel/Paragraaf</w:t>
            </w:r>
          </w:p>
        </w:tc>
        <w:tc>
          <w:tcPr>
            <w:tcW w:type="dxa" w:w="45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11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tot het organiseren van oefeningen voor interne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3, 4, 15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Zorgplicht werkgever; BHV-verplichting; Risico-Inventarisatie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§7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Eisen aan oefenen en evalueren van bedrijfshulpverlening en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12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lidstaten om bedrijven oefeningen te laten houden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62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oefening (TT)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Discussie-oefening waarbij het managementteam een scenario doorneemt en besluitvorming oefent zonder fysieke uitvoering.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Live drill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Fysieke oefening waarbij BHV-team of medewerkers daadwerkelijk handelen (brandblussen, eerste hulp, evacuatie).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Grote, realistische oefening met alle medewerkers, BHV, management én externe hulpdiensten.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Na-oefening evaluatie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Formele evaluatie binnen 1 week na oefening, gedocumenteerd rapport met scores en verbeteracties.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Hot debrief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Korte evaluatie direct na afloop van de oefening (ca. 15 minuten), met alle deelnemers.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Oefentypes</w:t>
      </w:r>
    </w:p>
    <w:p>
      <w:pPr>
        <w:spacing w:after="120"/>
      </w:pPr>
      <w:r>
        <w:t>Phoenix Metals hanteert vijf oefentypes met specifieke doelen, deelnemers en frequenties [2][3]: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Deelnemers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(TT)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1-2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Besluitvorming onder druk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uur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Communicatieteam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Interne/externe cascade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Praktijkvaardigheden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30 min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snelheid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4-8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Iedereen + hulpdiensten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paraatheid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Jaarprogramma</w:t>
      </w:r>
    </w:p>
    <w:p>
      <w:pPr>
        <w:spacing w:after="120"/>
      </w:pPr>
      <w:r>
        <w:t>Het onderstaande jaarprogramma borgt een systematische opbouw van paraatheid gedurende het kalenderjaar: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Maand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Oefening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Focus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Januari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refresher + drill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 + brand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Februari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toxic release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communicatie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Maart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Zone B + C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April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communicatiematrix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chemie specifiek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+ V₂O₅ procedures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Juni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brand/explosie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1 besluitvorming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Juli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(onaangekondigd)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evacuatie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Augustus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persoonlijk ongeval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4 praktijk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September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Persprotocol + omwonenden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Oktober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+ toxic + evacuatie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November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binnenschuilen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alternatief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December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Jaarevaluatie + planning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Evaluatie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Lessons learned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Scenario's voor Oefeningen</w:t>
      </w:r>
    </w:p>
    <w:p>
      <w:pPr>
        <w:spacing w:after="120"/>
      </w:pPr>
      <w:r>
        <w:t>Alle oefenscenario's zijn afgeleid uit Document #02 (Noodscenario's) van VBS Element 4 [4]: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51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in droog-/calcijnatieoven (stofexplosie)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1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lekkage met toxic release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2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Milieu-ongeval lekkage naar oppervlaktewater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3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Ernstig persoonlijk ongeval (chemische brandwond)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4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Stroomuitval + systeemfalen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5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Opzet per Oefentype</w:t>
      </w:r>
    </w:p>
    <w:p>
      <w:pPr>
        <w:spacing w:after="120"/>
      </w:pPr>
      <w:r>
        <w:t>Elke oefening doorloopt een vaste vijf fasen: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68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 Voorbereiding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schrijven, rollen verdelen, middelen klaarzetten, veiligheidsmaatregelen treffen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2. Uitvoering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Realistische uitvoering met tijdlijn, observeurs documenteren prestaties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3. Hot debrief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 na afloop (ca. 15 min); alle deelnemers; eerste indrukken en kritieke punten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4. Formele evaluatie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1 week; geschreven rapport met scores op evaluatiecriteria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5. Verbeteracties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2 weken geïmplementeerd; verantwoordelijke en deadline benoemd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8. Evaluatiecriteria</w:t>
      </w:r>
    </w:p>
    <w:p>
      <w:pPr>
        <w:spacing w:after="120"/>
      </w:pPr>
      <w:r>
        <w:t>Elke oefening wordt beoordeeld op vijf criteria met een 1-5 schaal: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1 (Onvoldoende)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3 (Voldoende)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5 (Uitstekend)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Responstijd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&gt;10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5-10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&lt;5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traag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snel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Onvolledig, &gt;15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10-15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&lt;10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inzet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Onvoldoende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Adequaat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Professioneel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conform plan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traag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snel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Documentatie en Registratie</w:t>
      </w:r>
    </w:p>
    <w:p>
      <w:pPr>
        <w:spacing w:after="120"/>
      </w:pPr>
      <w:r>
        <w:t>Alle oefeningen worden gedocumenteerd conform de volgende structuur:</w:t>
      </w:r>
    </w:p>
    <w:p>
      <w:pPr>
        <w:spacing w:after="120"/>
      </w:pPr>
      <w:r>
        <w:t>• Oefenlog per sessie: datum, type, deelnemers, scores, verbeteracties, deadline</w:t>
        <w:br/>
        <w:t>• Jaarrapportage paraatheid: samenvoeging alle sessies, trendanalyse, KPI-bewaking</w:t>
        <w:br/>
        <w:t>• Koppeling met KPI's uit VBS Element 3 Document #10 (Prestatie-indicatoren)</w:t>
      </w:r>
    </w:p>
    <w:p>
      <w:pPr>
        <w:spacing w:after="120"/>
      </w:pPr>
      <w:r>
        <w:t>De oefenlog wordt bijgehouden door de BHV-coördinator en gearchiveerd in het kwaliteitssysteem.</w:t>
      </w:r>
    </w:p>
    <w:p>
      <w:pPr>
        <w:pStyle w:val="Heading2"/>
      </w:pPr>
      <w:r>
        <w:rPr>
          <w:color w:val="003366"/>
        </w:rPr>
        <w:t>Training Matrix Koppeling (E1#04)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VBS Referentie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Document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/>
                <w:sz w:val="22"/>
              </w:rPr>
              <w:t>Koppeling / Beschrijving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E1#04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Training Matrix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b w:val="0"/>
                <w:sz w:val="22"/>
              </w:rPr>
              <w:t>Oefeningen afgestemd op training; jaarplanning afstemmen met trainingsschema</w:t>
            </w:r>
          </w:p>
        </w:tc>
      </w:tr>
    </w:tbl>
    <w:p>
      <w:pPr>
        <w:spacing w:before="120"/>
      </w:pPr>
      <w:r>
        <w:rPr>
          <w:rFonts w:ascii="Calibri" w:hAnsi="Calibri"/>
          <w:sz w:val="22"/>
        </w:rPr>
        <w:t>Oefeningen worden voorbereid met de bijbehorende training uit E1#04 Training Matrix. De jaarplanning van het oefenprogramma wordt afgestemd met het trainingsschema om synergie te waarborgen.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Aanwezig conform §2.1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Consultancy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[1]-[6] in tekst + bronnenlijst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BRZO, NTA, Seveso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 branding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logo 2.0×1.8 cm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Footer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 alle pagina's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Output format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.docx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Kleurenpalet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#003366 primair, #1F2937 tekst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§1.2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Lettertype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Calibri 11pt body, 14pt bold koppen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Feitelijkheid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claims gebaseerd op bronnen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</w:tbl>
    <w:p>
      <w:pPr>
        <w:pStyle w:val="Heading1"/>
      </w:pPr>
      <w:r>
        <w:rPr>
          <w:color w:val="003366"/>
        </w:rPr>
        <w:t>10. Risk-based Oefenplanning</w:t>
      </w:r>
    </w:p>
    <w:p>
      <w:r>
        <w:t>Om de beschikbare oefencapaciteit effectief in te zetten, hanteert Phoenix Metals B.V. een risk-based benadering voor de oefenplanning [7][8]. Oefenscenario's worden geprioriteerd op basis van het risicoprofiel, afgeleid van de Major Accident Scenarios (MASC's) uit het MASC-register (E2_12) en de BowTie-analyses (E2_08).</w:t>
      </w:r>
    </w:p>
    <w:p>
      <w:pPr>
        <w:pStyle w:val="Heading2"/>
      </w:pPr>
      <w:r>
        <w:rPr>
          <w:color w:val="003366"/>
        </w:rPr>
        <w:t>10.1 Methode: MASC en BowTie-gebaseerde Scenarioselectie</w:t>
      </w:r>
    </w:p>
    <w:p>
      <w:r>
        <w:t>De selectie van oefenscenario's volgt een systematische aanpak:</w:t>
      </w:r>
    </w:p>
    <w:p>
      <w:pPr>
        <w:pStyle w:val="ListBullet"/>
      </w:pPr>
      <w:r>
        <w:t>Identificatie van alle MASC's uit het MASC-register (E2_12)</w:t>
      </w:r>
    </w:p>
    <w:p>
      <w:pPr>
        <w:pStyle w:val="ListBullet"/>
      </w:pPr>
      <w:r>
        <w:t>Rangschikking op risiconiveau (hoog → middel → laag) op basis van BowTie-analyses (E2_08)</w:t>
      </w:r>
    </w:p>
    <w:p>
      <w:pPr>
        <w:pStyle w:val="ListBullet"/>
      </w:pPr>
      <w:r>
        <w:t>Toewijzing van oefenfrequentie en oefentype op basis van risiconiveau</w:t>
      </w:r>
    </w:p>
    <w:p>
      <w:pPr>
        <w:pStyle w:val="ListBullet"/>
      </w:pPr>
      <w:r>
        <w:t>Minimale dekking: elk MASC wordt minimaal 1x per jaar geoefend</w:t>
      </w:r>
    </w:p>
    <w:p>
      <w:pPr>
        <w:pStyle w:val="ListBullet"/>
      </w:pPr>
      <w:r>
        <w:t>Hoog-risico MASC's worden minimaal 2x per jaar geoefend (waarvan minimaal 1x full-scale)</w:t>
      </w:r>
    </w:p>
    <w:p/>
    <w:p>
      <w:pPr>
        <w:pStyle w:val="Heading2"/>
      </w:pPr>
      <w:r>
        <w:rPr>
          <w:color w:val="003366"/>
        </w:rPr>
        <w:t>10.2 Risk-based Oefenmatrix</w:t>
      </w:r>
    </w:p>
    <w:p>
      <w:r>
        <w:t>Onderstaande matrix koppelt MASC-risiconiveaus aan oefenfrequentie en -type: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Risiconiveau MASC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Oefenfrequentie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Oefentype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Opmerking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Hoog (rood)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2x/jaar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1× Full-scale + 1× Functional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Minimaal 1 full-scale met externe hulpdiensten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Middel (oranje)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1x/jaar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Functional of Tabletop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Rotatie scenario's over jaren heen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Laag (geel)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1x/2 jaar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Tabletop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Kan gecombineerd worden met andere scenario's</w:t>
            </w:r>
          </w:p>
        </w:tc>
      </w:tr>
    </w:tbl>
    <w:p/>
    <w:p>
      <w:pPr>
        <w:pStyle w:val="Heading2"/>
      </w:pPr>
      <w:r>
        <w:rPr>
          <w:color w:val="003366"/>
        </w:rPr>
        <w:t>10.3 Prioritering en Planning</w:t>
      </w:r>
    </w:p>
    <w:p>
      <w:r>
        <w:t>De jaarlijkse oefenplanning wordt opgesteld volgens de volgende prioriteringsregels:</w:t>
      </w:r>
    </w:p>
    <w:p>
      <w:pPr>
        <w:pStyle w:val="ListBullet"/>
      </w:pPr>
      <w:r>
        <w:t>Hoogste risico-scenario's krijgen de meeste oefentijd en -budget</w:t>
      </w:r>
    </w:p>
    <w:p>
      <w:pPr>
        <w:pStyle w:val="ListBullet"/>
      </w:pPr>
      <w:r>
        <w:t>Elk MASC uit het MASC-register (E2_12) wordt minimaal 1x/jaar gedekt</w:t>
      </w:r>
    </w:p>
    <w:p>
      <w:pPr>
        <w:pStyle w:val="ListBullet"/>
      </w:pPr>
      <w:r>
        <w:t>Nieuwe of gewijzigde MASC's (na RI&amp;E-update of incident) worden direct ingepland</w:t>
      </w:r>
    </w:p>
    <w:p>
      <w:pPr>
        <w:pStyle w:val="ListBullet"/>
      </w:pPr>
      <w:r>
        <w:t>Scenario's die in eerdere oefeningen laag scoorden (&lt; 3.0) worden vaker herhaald</w:t>
      </w:r>
    </w:p>
    <w:p>
      <w:pPr>
        <w:pStyle w:val="ListBullet"/>
      </w:pPr>
      <w:r>
        <w:t>De oefenplanning wordt afgestemd met het jaarprogramma (§5) en de Training Matrix (E1#04)</w:t>
      </w:r>
    </w:p>
    <w:p/>
    <w:p>
      <w:pPr>
        <w:pStyle w:val="Heading2"/>
      </w:pPr>
      <w:r>
        <w:rPr>
          <w:color w:val="003366"/>
        </w:rPr>
        <w:t>10.4 Post-oefening Evaluatie en CAPA</w:t>
      </w:r>
    </w:p>
    <w:p>
      <w:r>
        <w:t>Na elke oefening wordt een gestructureerde evaluatie uitgevoerd met de volgende elementen:</w:t>
      </w:r>
    </w:p>
    <w:p>
      <w:pPr>
        <w:pStyle w:val="ListBullet"/>
      </w:pPr>
      <w:r>
        <w:t>Directe hot debrief met alle deelnemers (binnen 1 uur na oefening)</w:t>
      </w:r>
    </w:p>
    <w:p>
      <w:pPr>
        <w:pStyle w:val="ListBullet"/>
      </w:pPr>
      <w:r>
        <w:t>Gestructureerd evaluatieformulier conform §8 criteria</w:t>
      </w:r>
    </w:p>
    <w:p>
      <w:pPr>
        <w:pStyle w:val="ListBullet"/>
      </w:pPr>
      <w:r>
        <w:t>Identificatie van leerpunten en knelpunten</w:t>
      </w:r>
    </w:p>
    <w:p>
      <w:pPr>
        <w:pStyle w:val="ListBullet"/>
      </w:pPr>
      <w:r>
        <w:t>CAPA-register: elk leerpunt wordt omgezet in een Corrective/Preventive Action met eigenaar en deadline</w:t>
      </w:r>
    </w:p>
    <w:p>
      <w:pPr>
        <w:pStyle w:val="ListBullet"/>
      </w:pPr>
      <w:r>
        <w:t>Follow-up: de BHV-coördinator controleert CAPA-afhandeling binnen de gestelde termijn</w:t>
      </w:r>
    </w:p>
    <w:p>
      <w:pPr>
        <w:pStyle w:val="ListBullet"/>
      </w:pPr>
      <w:r>
        <w:t>Trendanalyse: kwartaallijks overzicht van terugkerende leerpunten ter bespreking in Management Review</w:t>
      </w:r>
    </w:p>
    <w:p/>
    <w:p>
      <w:pPr>
        <w:pStyle w:val="Heading2"/>
      </w:pPr>
      <w:r>
        <w:rPr>
          <w:color w:val="003366"/>
        </w:rPr>
        <w:t>10.5 Koppeling met MASC-register (E2_12)</w:t>
      </w:r>
    </w:p>
    <w:p>
      <w:r>
        <w:t>Elke oefening wordt in het oefenlog gekoppeld aan het betreffende MASC-nummer uit het MASC-register (E2_12). Dit maakt het mogelijk om per MASC de oefenhistorie, -resultaten en -trends te raadplegen. De koppeling wordt als volgt gerealiseerd: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MASC ID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Scenario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Laatste oefening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Volgende gepland</w:t>
            </w:r>
          </w:p>
        </w:tc>
      </w:tr>
      <w:tr>
        <w:tc>
          <w:tcPr>
            <w:tcW w:type="dxa" w:w="2351"/>
          </w:tcPr>
          <w:p>
            <w:r>
              <w:rPr>
                <w:color w:val="808080"/>
                <w:sz w:val="20"/>
              </w:rPr>
              <w:t>MASC-001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V₂O₅ grote release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2026-Q1 Full-scale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2026-Q3 Functional</w:t>
            </w:r>
          </w:p>
        </w:tc>
      </w:tr>
      <w:tr>
        <w:tc>
          <w:tcPr>
            <w:tcW w:type="dxa" w:w="2351"/>
          </w:tcPr>
          <w:p>
            <w:r>
              <w:rPr>
                <w:color w:val="808080"/>
                <w:sz w:val="20"/>
              </w:rPr>
              <w:t>MASC-002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H₂SO₄ tankleiding falen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2026-Q1 Tabletop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2026-Q4 Functional</w:t>
            </w:r>
          </w:p>
        </w:tc>
      </w:tr>
      <w:tr>
        <w:tc>
          <w:tcPr>
            <w:tcW w:type="dxa" w:w="2351"/>
          </w:tcPr>
          <w:p>
            <w:r>
              <w:rPr>
                <w:color w:val="808080"/>
                <w:sz w:val="20"/>
              </w:rPr>
              <w:t>MASC-003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NaOH blootstelling pompkamer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—</w:t>
            </w:r>
          </w:p>
        </w:tc>
        <w:tc>
          <w:tcPr>
            <w:tcW w:type="dxa" w:w="2351"/>
          </w:tcPr>
          <w:p>
            <w:r>
              <w:rPr>
                <w:color w:val="808080"/>
                <w:sz w:val="20"/>
              </w:rPr>
              <w:t>2026-Q2 Tabletop</w:t>
            </w:r>
          </w:p>
        </w:tc>
      </w:tr>
    </w:tbl>
    <w:p/>
    <w:p>
      <w:pPr>
        <w:pStyle w:val="Heading1"/>
      </w:pPr>
      <w:r>
        <w:rPr>
          <w:color w:val="003366"/>
        </w:rPr>
        <w:t>11. Bronnenlijst</w:t>
      </w:r>
    </w:p>
    <w:p>
      <w:r>
        <w:t>[1] BRZO 2015, Artikel 11 — Planning voor noodsituaties</w:t>
      </w:r>
    </w:p>
    <w:p>
      <w:r>
        <w:t>[2] NTA 8620 — Bedrijfshulpverlening: eisen aan oefenen en evalueren</w:t>
      </w:r>
    </w:p>
    <w:p>
      <w:r>
        <w:t>[3] Seveso III Richtlijn, Artikel 12 — Verplichting tot oefeningen</w:t>
      </w:r>
    </w:p>
    <w:p>
      <w:r>
        <w:t>[4] Phoenix Metals VBS Element 4, Document #02 — Noodscenario's</w:t>
      </w:r>
    </w:p>
    <w:p>
      <w:r>
        <w:t>[5] Phoenix Metals VBS Element 4, Document #03 — BHV Plan</w:t>
      </w:r>
    </w:p>
    <w:p>
      <w:r>
        <w:t>[6] Phoenix Metals Meta-Dossier VBS Element 4, Versie 1.0 (29 april 2026)</w:t>
      </w:r>
    </w:p>
    <w:p>
      <w:r>
        <w:t>[7] Phoenix Metals VBS Element 2, Document #12 — MASC-register</w:t>
      </w:r>
    </w:p>
    <w:p>
      <w:r>
        <w:t>[8] Phoenix Metals VBS Element 2, Document #08 — BowTie-analyses</w:t>
      </w:r>
    </w:p>
    <w:p>
      <w:pPr>
        <w:pStyle w:val="Heading1"/>
      </w:pPr>
      <w:r>
        <w:rPr>
          <w:color w:val="003366"/>
        </w:rPr>
        <w:t>12. TierVerify Log</w:t>
      </w:r>
    </w:p>
    <w:p>
      <w:r>
        <w:t>Dit document is geverifieerd volgens het TierVerify-protocol van JvG Consultancy.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sz w:val="20"/>
              </w:rPr>
              <w:t>Check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Bron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Status</w:t>
            </w:r>
          </w:p>
        </w:tc>
        <w:tc>
          <w:tcPr>
            <w:tcW w:type="dxa" w:w="2351"/>
          </w:tcPr>
          <w:p>
            <w:r>
              <w:rPr>
                <w:b/>
                <w:sz w:val="20"/>
              </w:rPr>
              <w:t>Datum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Bronverwijzingen compleet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§11, [1]-[8]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✅ Pass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2026-04-29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MASC-koppeling consistent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§10.5, E2_12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✅ Pass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2026-04-29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Risk-based matrix compleet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§10.2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✅ Pass</w:t>
            </w:r>
          </w:p>
        </w:tc>
        <w:tc>
          <w:tcPr>
            <w:tcW w:type="dxa" w:w="2351"/>
          </w:tcPr>
          <w:p>
            <w:r>
              <w:rPr>
                <w:sz w:val="20"/>
              </w:rPr>
              <w:t>2026-04-29</w:t>
            </w:r>
          </w:p>
        </w:tc>
      </w:tr>
    </w:tbl>
    <w:sectPr w:rsidR="00FC693F" w:rsidRPr="0006063C" w:rsidSect="00034616">
      <w:footerReference w:type="default" r:id="rId9"/>
      <w:head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