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003366"/>
          <w:sz w:val="48"/>
        </w:rPr>
        <w:t>OEFENPROGRAMMA NOODPLANNEN</w:t>
      </w:r>
    </w:p>
    <w:p>
      <w:pPr>
        <w:jc w:val="center"/>
      </w:pPr>
      <w:r>
        <w:rPr>
          <w:rFonts w:ascii="Calibri" w:hAnsi="Calibri"/>
          <w:color w:val="003366"/>
          <w:sz w:val="28"/>
        </w:rPr>
        <w:t>VBS Element 4 — Planning voor Noodsituaties</w:t>
      </w:r>
    </w:p>
    <w:p>
      <w:pPr>
        <w:jc w:val="center"/>
      </w:pPr>
      <w:r>
        <w:rPr>
          <w:rFonts w:ascii="Calibri" w:hAnsi="Calibri"/>
          <w:color w:val="1F2937"/>
          <w:sz w:val="24"/>
        </w:rPr>
        <w:t>Phoenix Metals B.V. — IJmuiden</w:t>
      </w:r>
    </w:p>
    <w:p/>
    <w:p>
      <w:pPr>
        <w:pStyle w:val="Heading2"/>
      </w:pPr>
      <w:r>
        <w:rPr>
          <w:rFonts w:ascii="Calibri" w:hAnsi="Calibri"/>
          <w:color w:val="003366"/>
        </w:rPr>
        <w:t>Documentbeheersing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2026-PM-VBS-Element4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Programma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HQ_04 Technical Writer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29 april 2026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Final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Goedkeuring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Operations Manager Phoenix Metals B.V.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&amp; Scope</w:t>
      </w:r>
    </w:p>
    <w:p>
      <w:pPr>
        <w:spacing w:after="120"/>
      </w:pPr>
      <w:r>
        <w:t>Dit document definieert het jaarlijkse oefenprogramma voor Phoenix Metals B.V., gericht op het garanderen van adequate paraatheid bij noodsituaties [1][2]. Het programma waarborgt dat alle medewerkers, BHV-teamleden en het management bekend zijn met de noodprocedures en deze effectief kunnen uitvoeren.</w:t>
      </w:r>
    </w:p>
    <w:p>
      <w:pPr>
        <w:pStyle w:val="Heading2"/>
      </w:pPr>
      <w:r>
        <w:rPr>
          <w:rFonts w:ascii="Calibri" w:hAnsi="Calibri"/>
          <w:color w:val="003366"/>
        </w:rPr>
        <w:t>1.1 Doel</w:t>
      </w:r>
    </w:p>
    <w:p>
      <w:pPr>
        <w:spacing w:after="120"/>
      </w:pPr>
      <w:r>
        <w:t>• Validatie van de operationalisatie van alle noodprocedures (VBS Element 4)</w:t>
        <w:br/>
        <w:t>• Borging van adequate responstijden bij incidenten</w:t>
        <w:br/>
        <w:t>• Training van besluitvorming onder druk (management team)</w:t>
        <w:br/>
        <w:t>• Aantonen van conformiteit met BRZO 2015 Art. 11 en NTA 8620 [1][2]</w:t>
      </w:r>
    </w:p>
    <w:p>
      <w:pPr>
        <w:pStyle w:val="Heading2"/>
      </w:pPr>
      <w:r>
        <w:rPr>
          <w:rFonts w:ascii="Calibri" w:hAnsi="Calibri"/>
          <w:color w:val="003366"/>
        </w:rPr>
        <w:t>1.2 Scope</w:t>
      </w:r>
    </w:p>
    <w:p>
      <w:pPr>
        <w:spacing w:after="120"/>
      </w:pPr>
      <w:r>
        <w:t>• Alle noodprocedures zoals gedefinieerd in Document #02 (Scenario's) en Document #03 (BHV Plan)</w:t>
        <w:br/>
        <w:t>• Alle medewerkers van Phoenix Metals B.V.</w:t>
        <w:br/>
        <w:t>• Externe hulpdiensten (brandweer, ambulance, politie) waar relevant</w:t>
        <w:br/>
        <w:t>• Alle alarmniveaus (Groen t/m Zwart) zoals gedefinieerd in het Meta-Dossier [6]</w:t>
      </w:r>
    </w:p>
    <w:p>
      <w:pPr>
        <w:pStyle w:val="Heading1"/>
      </w:pPr>
      <w:r>
        <w:rPr>
          <w:rFonts w:ascii="Calibri" w:hAnsi="Calibri"/>
          <w:color w:val="003366"/>
        </w:rPr>
        <w:t>2. Wettelijk Kader</w:t>
      </w:r>
    </w:p>
    <w:p>
      <w:pPr>
        <w:spacing w:after="120"/>
      </w:pPr>
      <w:r>
        <w:t>Het oefenprogramma is gebaseerd op de volgende wettelijke en normatieve kaders: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Artikel/Paragraaf</w:t>
            </w:r>
          </w:p>
        </w:tc>
        <w:tc>
          <w:tcPr>
            <w:tcW w:type="dxa" w:w="45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BRZO 2015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Art. 11</w:t>
            </w:r>
          </w:p>
        </w:tc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Verplichting tot het organiseren van oefeningen voor interne noodplannen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Arbowet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Art. 3, 4, 15</w:t>
            </w:r>
          </w:p>
        </w:tc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Zorgplicht werkgever; BHV-verplichting; Risico-Inventarisatie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NTA 8620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§7</w:t>
            </w:r>
          </w:p>
        </w:tc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Eisen aan oefenen en evalueren van bedrijfshulpverlening en noodplannen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Seveso III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Art. 12</w:t>
            </w:r>
          </w:p>
        </w:tc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Verplichting lidstaten om bedrijven oefeningen te laten houden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Definities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Term</w:t>
            </w:r>
          </w:p>
        </w:tc>
        <w:tc>
          <w:tcPr>
            <w:tcW w:type="dxa" w:w="623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 oefening (TT)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Discussie-oefening waarbij het managementteam een scenario doorneemt en besluitvorming oefent zonder fysieke uitvoering.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Live drill</w:t>
            </w:r>
          </w:p>
        </w:tc>
        <w:tc>
          <w:tcPr>
            <w:tcW w:type="dxa" w:w="6236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Fysieke oefening waarbij BHV-team of medewerkers daadwerkelijk handelen (brandblussen, eerste hulp, evacuatie).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Full-scale oefening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Grote, realistische oefening met alle medewerkers, BHV, management én externe hulpdiensten.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Na-oefening evaluatie</w:t>
            </w:r>
          </w:p>
        </w:tc>
        <w:tc>
          <w:tcPr>
            <w:tcW w:type="dxa" w:w="6236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Formele evaluatie binnen 1 week na oefening, gedocumenteerd rapport met scores en verbeteracties.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Hot debrief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Korte evaluatie direct na afloop van de oefening (ca. 15 minuten), met alle deelnemers.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4. Oefentypes</w:t>
      </w:r>
    </w:p>
    <w:p>
      <w:pPr>
        <w:spacing w:after="120"/>
      </w:pPr>
      <w:r>
        <w:t>Phoenix Metals hanteert vijf oefentypes met specifieke doelen, deelnemers en frequenties [2][3]: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Deelnemers</w:t>
            </w:r>
          </w:p>
        </w:tc>
        <w:tc>
          <w:tcPr>
            <w:tcW w:type="dxa" w:w="1417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5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Doel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 (TT)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1-2 uur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Management team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2×/jaar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Besluitvorming onder druk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Communicatie-</w:t>
              <w:br/>
              <w:t>oefening</w:t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uur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Communicatieteam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2×/jaar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Interne/externe cascade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 uur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team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4×/jaar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Praktijkvaardigheden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Evacuatie-</w:t>
              <w:br/>
              <w:t>oefening</w:t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30 min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medewerkers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2×/jaar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 snelheid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Full-scale oefening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4-8 uur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Iedereen + hulpdiensten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1×/jaar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Totale paraatheid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5. Jaarprogramma</w:t>
      </w:r>
    </w:p>
    <w:p>
      <w:pPr>
        <w:spacing w:after="120"/>
      </w:pPr>
      <w:r>
        <w:t>Het onderstaande jaarprogramma borgt een systematische opbouw van paraatheid gedurende het kalenderjaar: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Maand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Oefening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Focus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Januari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refresher + drill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Eerste hulp + brand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Februari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Tabletop: toxic release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2 communicatie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Maart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 (aangekondigd)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Zone B + C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April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Communicatieoefening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 oef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Externe communicatiematrix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Mei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drill: chemie specifiek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H₂SO₄ + V₂O₅ procedures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Juni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Tabletop: brand/explosie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1 besluitvorming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Juli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 (onaangekondigd)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Totale evacuatie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Augustus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drill: persoonlijk ongeval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4 praktijk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September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Communicatieoefening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 oef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Persprotocol + omwonenden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Oktober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Full-scale oefening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Full-scale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 + toxic + evacuatie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November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drill: binnenschuilen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2 alternatief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December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Jaarevaluatie + planning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Evaluatie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Lessons learned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6. Scenario's voor Oefeningen</w:t>
      </w:r>
    </w:p>
    <w:p>
      <w:pPr>
        <w:spacing w:after="120"/>
      </w:pPr>
      <w:r>
        <w:t>Alle oefenscenario's zijn afgeleid uit Document #02 (Noodscenario's) van VBS Element 4 [4]: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Scenario</w:t>
            </w:r>
          </w:p>
        </w:tc>
        <w:tc>
          <w:tcPr>
            <w:tcW w:type="dxa" w:w="510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 in droog-/calcijnatieoven (stofexplosie)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1</w:t>
            </w:r>
          </w:p>
        </w:tc>
      </w:tr>
      <w:tr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</w:t>
            </w:r>
          </w:p>
        </w:tc>
        <w:tc>
          <w:tcPr>
            <w:tcW w:type="dxa" w:w="5102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H₂SO₄ lekkage met toxic release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2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Milieu-ongeval lekkage naar oppervlaktewater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3</w:t>
            </w:r>
          </w:p>
        </w:tc>
      </w:tr>
      <w:tr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</w:t>
            </w:r>
          </w:p>
        </w:tc>
        <w:tc>
          <w:tcPr>
            <w:tcW w:type="dxa" w:w="5102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Ernstig persoonlijk ongeval (chemische brandwond)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4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Stroomuitval + systeemfalen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5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7. Opzet per Oefentype</w:t>
      </w:r>
    </w:p>
    <w:p>
      <w:pPr>
        <w:spacing w:after="120"/>
      </w:pPr>
      <w:r>
        <w:t>Elke oefening doorloopt een vaste vijf fasen: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Fase</w:t>
            </w:r>
          </w:p>
        </w:tc>
        <w:tc>
          <w:tcPr>
            <w:tcW w:type="dxa" w:w="6803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 Voorbereiding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schrijven, rollen verdelen, middelen klaarzetten, veiligheidsmaatregelen treffen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2. Uitvoering</w:t>
            </w:r>
          </w:p>
        </w:tc>
        <w:tc>
          <w:tcPr>
            <w:tcW w:type="dxa" w:w="6803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Realistische uitvoering met tijdlijn, observeurs documenteren prestaties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3. Hot debrief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Direct na afloop (ca. 15 min); alle deelnemers; eerste indrukken en kritieke punten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4. Formele evaluatie</w:t>
            </w:r>
          </w:p>
        </w:tc>
        <w:tc>
          <w:tcPr>
            <w:tcW w:type="dxa" w:w="6803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Binnen 1 week; geschreven rapport met scores op evaluatiecriteria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5. Verbeteracties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Binnen 2 weken geïmplementeerd; verantwoordelijke en deadline benoemd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8. Evaluatiecriteria</w:t>
      </w:r>
    </w:p>
    <w:p>
      <w:pPr>
        <w:spacing w:after="120"/>
      </w:pPr>
      <w:r>
        <w:t>Elke oefening wordt beoordeeld op vijf criteria met een 1-5 schaal: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Criterium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 1 (Onvoldoende)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 3 (Voldoende)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 5 (Uitstekend)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Responstijd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&gt;10 min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5-10 min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&lt;5 min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Onvolledig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Volledig, traag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Volledig, snel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Onvolledig, &gt;15 min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Volledig, 10-15 min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Volledig, &lt;10 min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inzet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Onvoldoende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Adequaat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Professioneel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Externe communicatie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 conform plan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Conform, traag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Conform, snel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9. Documentatie en Registratie</w:t>
      </w:r>
    </w:p>
    <w:p>
      <w:pPr>
        <w:spacing w:after="120"/>
      </w:pPr>
      <w:r>
        <w:t>Alle oefeningen worden gedocumenteerd conform de volgende structuur:</w:t>
      </w:r>
    </w:p>
    <w:p>
      <w:pPr>
        <w:spacing w:after="120"/>
      </w:pPr>
      <w:r>
        <w:t>• Oefenlog per sessie: datum, type, deelnemers, scores, verbeteracties, deadline</w:t>
        <w:br/>
        <w:t>• Jaarrapportage paraatheid: samenvoeging alle sessies, trendanalyse, KPI-bewaking</w:t>
        <w:br/>
        <w:t>• Koppeling met KPI's uit VBS Element 3 Document #10 (Prestatie-indicatoren)</w:t>
      </w:r>
    </w:p>
    <w:p>
      <w:pPr>
        <w:spacing w:after="120"/>
      </w:pPr>
      <w:r>
        <w:t>De oefenlog wordt bijgehouden door de BHV-coördinator en gearchiveerd in het kwaliteitssysteem.</w:t>
      </w:r>
    </w:p>
    <w:p>
      <w:pPr>
        <w:pStyle w:val="Heading2"/>
      </w:pPr>
      <w:r>
        <w:rPr>
          <w:color w:val="003366"/>
        </w:rPr>
        <w:t>Training Matrix Koppeling (E1#04)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VBS Referentie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Document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Koppeling / Beschrijving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E1#04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Training Matrix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Oefeningen afgestemd op training; jaarplanning afstemmen met trainingsschema</w:t>
            </w:r>
          </w:p>
        </w:tc>
      </w:tr>
    </w:tbl>
    <w:p>
      <w:pPr>
        <w:spacing w:before="120"/>
      </w:pPr>
      <w:r>
        <w:rPr>
          <w:rFonts w:ascii="Calibri" w:hAnsi="Calibri"/>
          <w:sz w:val="22"/>
        </w:rPr>
        <w:t>Oefeningen worden voorbereid met de bijbehorende training uit E1#04 Training Matrix. De jaarplanning van het oefenprogramma wordt afgestemd met het trainingsschema om synergie te waarborgen.</w:t>
      </w:r>
    </w:p>
    <w:p>
      <w:pPr>
        <w:pStyle w:val="Heading1"/>
      </w:pPr>
      <w:r>
        <w:rPr>
          <w:rFonts w:ascii="Calibri" w:hAnsi="Calibri"/>
          <w:color w:val="003366"/>
        </w:rPr>
        <w:t>10. Bronnenlijst</w:t>
      </w:r>
    </w:p>
    <w:p>
      <w:pPr>
        <w:spacing w:after="120"/>
      </w:pPr>
      <w:r>
        <w:t>[1] BRZO 2015, Artikel 11 — Planning voor noodsituaties</w:t>
      </w:r>
    </w:p>
    <w:p>
      <w:pPr>
        <w:spacing w:after="120"/>
      </w:pPr>
      <w:r>
        <w:t>[2] NTA 8620 — Bedrijfshulpverlening: eisen aan oefenen en evalueren</w:t>
      </w:r>
    </w:p>
    <w:p>
      <w:pPr>
        <w:spacing w:after="120"/>
      </w:pPr>
      <w:r>
        <w:t>[3] Seveso III Richtlijn, Artikel 12 — Verplichting tot oefeningen</w:t>
      </w:r>
    </w:p>
    <w:p>
      <w:pPr>
        <w:spacing w:after="120"/>
      </w:pPr>
      <w:r>
        <w:t>[4] Phoenix Metals VBS Element 4, Document #02 — Noodscenario's</w:t>
      </w:r>
    </w:p>
    <w:p>
      <w:pPr>
        <w:spacing w:after="120"/>
      </w:pPr>
      <w:r>
        <w:t>[5] Phoenix Metals VBS Element 4, Document #03 — BHV Plan</w:t>
      </w:r>
    </w:p>
    <w:p>
      <w:pPr>
        <w:spacing w:after="120"/>
      </w:pPr>
      <w:r>
        <w:t>[6] Phoenix Metals Meta-Dossier VBS Element 4, Versie 1.0 (29 april 2026)</w:t>
      </w:r>
    </w:p>
    <w:p>
      <w:pPr>
        <w:pStyle w:val="Heading1"/>
      </w:pPr>
      <w:r>
        <w:rPr>
          <w:rFonts w:ascii="Calibri" w:hAnsi="Calibri"/>
          <w:color w:val="003366"/>
        </w:rPr>
        <w:t>11. 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Resultaat</w:t>
            </w:r>
          </w:p>
        </w:tc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Documentheader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Aanwezig conform §2.1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JvG Consultancy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Bronverwijzingen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[1]-[6] in tekst + bronnenlijst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BRZO, NTA, Seveso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Logo branding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JvG logo 2.0×1.8 cm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§8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Footer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 alle pagina's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§8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Output format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.docx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IDENTITY.md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Kleurenpalet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#003366 primair, #1F2937 tekst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§1.2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Lettertype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Calibri 11pt body, 14pt bold koppen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§1.1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Feitelijkheid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claims gebaseerd op bronnen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§1.8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</w:tbl>
    <w:sectPr w:rsidR="00FC693F" w:rsidRPr="0006063C" w:rsidSect="00034616">
      <w:footerReference w:type="default" r:id="rId9"/>
      <w:headerReference w:type="default" r:id="rId11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/>
        <w:color w:val="374151"/>
        <w:sz w:val="16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