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Noodinspectie &amp; Herstel Protocol</w:t>
      </w:r>
    </w:p>
    <w:p>
      <w:pPr>
        <w:jc w:val="center"/>
      </w:pPr>
      <w:r>
        <w:rPr>
          <w:color w:val="003366"/>
          <w:sz w:val="32"/>
        </w:rPr>
        <w:t>VBS Element 4 — Document #6</w:t>
      </w:r>
    </w:p>
    <w:p>
      <w:pPr>
        <w:jc w:val="center"/>
      </w:pPr>
      <w:r>
        <w:rPr>
          <w:color w:val="1F2937"/>
          <w:sz w:val="24"/>
        </w:rPr>
        <w:t>Phoenix Metals B.V. — Vanadiumproductie uit Staalslakken</w:t>
      </w:r>
    </w:p>
    <w:p>
      <w:pPr>
        <w:jc w:val="center"/>
      </w:pPr>
      <w:r>
        <w:rPr>
          <w:color w:val="1F2937"/>
          <w:sz w:val="22"/>
        </w:rPr>
        <w:t>Industrieterrein Velserbeek, IJmuiden</w:t>
      </w:r>
    </w:p>
    <w:p/>
    <w:p>
      <w:pPr>
        <w:pStyle w:val="Heading2"/>
      </w:pPr>
      <w:r>
        <w:rPr>
          <w:rFonts w:ascii="Calibri" w:hAnsi="Calibri"/>
          <w:color w:val="003366"/>
        </w:rPr>
        <w:t>Documentbeheersing</w:t>
      </w:r>
    </w:p>
    <w:tbl>
      <w:tblPr>
        <w:tblStyle w:val="TableGrid"/>
        <w:tblW w:type="auto" w:w="0"/>
        <w:tblLook w:firstColumn="1" w:firstRow="1" w:lastColumn="0" w:lastRow="0" w:noHBand="0" w:noVBand="1" w:val="04A0"/>
      </w:tblPr>
      <w:tblGrid>
        <w:gridCol w:w="4320"/>
        <w:gridCol w:w="4320"/>
      </w:tblGrid>
      <w:tr>
        <w:tc>
          <w:tcPr>
            <w:tcW w:type="dxa" w:w="4320"/>
            <w:shd w:fill="003366"/>
          </w:tcPr>
          <w:p>
            <w:r>
              <w:rPr>
                <w:b/>
                <w:color w:val="FFFFFF"/>
                <w:sz w:val="20"/>
              </w:rPr>
              <w:t>Project</w:t>
            </w:r>
          </w:p>
        </w:tc>
        <w:tc>
          <w:tcPr>
            <w:tcW w:type="dxa" w:w="4320"/>
          </w:tcPr>
          <w:p>
            <w:r>
              <w:rPr>
                <w:sz w:val="20"/>
              </w:rPr>
              <w:t>2026-PM-VBS-Element4</w:t>
            </w:r>
          </w:p>
        </w:tc>
      </w:tr>
      <w:tr>
        <w:tc>
          <w:tcPr>
            <w:tcW w:type="dxa" w:w="4320"/>
            <w:shd w:fill="003366"/>
          </w:tcPr>
          <w:p>
            <w:r>
              <w:rPr>
                <w:b/>
                <w:color w:val="FFFFFF"/>
                <w:sz w:val="20"/>
              </w:rPr>
              <w:t>Type</w:t>
            </w:r>
          </w:p>
        </w:tc>
        <w:tc>
          <w:tcPr>
            <w:tcW w:type="dxa" w:w="4320"/>
          </w:tcPr>
          <w:p>
            <w:r>
              <w:rPr>
                <w:sz w:val="20"/>
              </w:rPr>
              <w:t>Procedure</w:t>
            </w:r>
          </w:p>
        </w:tc>
      </w:tr>
      <w:tr>
        <w:tc>
          <w:tcPr>
            <w:tcW w:type="dxa" w:w="4320"/>
            <w:shd w:fill="003366"/>
          </w:tcPr>
          <w:p>
            <w:r>
              <w:rPr>
                <w:b/>
                <w:color w:val="FFFFFF"/>
                <w:sz w:val="20"/>
              </w:rPr>
              <w:t>Auteur</w:t>
            </w:r>
          </w:p>
        </w:tc>
        <w:tc>
          <w:tcPr>
            <w:tcW w:type="dxa" w:w="4320"/>
          </w:tcPr>
          <w:p>
            <w:r>
              <w:rPr>
                <w:sz w:val="20"/>
              </w:rPr>
              <w:t>HQ_01 — HSEQ Specialist</w:t>
            </w:r>
          </w:p>
        </w:tc>
      </w:tr>
      <w:tr>
        <w:tc>
          <w:tcPr>
            <w:tcW w:type="dxa" w:w="4320"/>
            <w:shd w:fill="003366"/>
          </w:tcPr>
          <w:p>
            <w:r>
              <w:rPr>
                <w:b/>
                <w:color w:val="FFFFFF"/>
                <w:sz w:val="20"/>
              </w:rPr>
              <w:t>Versie</w:t>
            </w:r>
          </w:p>
        </w:tc>
        <w:tc>
          <w:tcPr>
            <w:tcW w:type="dxa" w:w="4320"/>
          </w:tcPr>
          <w:p>
            <w:r>
              <w:rPr>
                <w:sz w:val="20"/>
              </w:rPr>
              <w:t>1.0</w:t>
            </w:r>
          </w:p>
        </w:tc>
      </w:tr>
      <w:tr>
        <w:tc>
          <w:tcPr>
            <w:tcW w:type="dxa" w:w="4320"/>
            <w:shd w:fill="003366"/>
          </w:tcPr>
          <w:p>
            <w:r>
              <w:rPr>
                <w:b/>
                <w:color w:val="FFFFFF"/>
                <w:sz w:val="20"/>
              </w:rPr>
              <w:t>Datum</w:t>
            </w:r>
          </w:p>
        </w:tc>
        <w:tc>
          <w:tcPr>
            <w:tcW w:type="dxa" w:w="4320"/>
          </w:tcPr>
          <w:p>
            <w:r>
              <w:rPr>
                <w:sz w:val="20"/>
              </w:rPr>
              <w:t>29 april 2026</w:t>
            </w:r>
          </w:p>
        </w:tc>
      </w:tr>
      <w:tr>
        <w:tc>
          <w:tcPr>
            <w:tcW w:type="dxa" w:w="4320"/>
            <w:shd w:fill="003366"/>
          </w:tcPr>
          <w:p>
            <w:r>
              <w:rPr>
                <w:b/>
                <w:color w:val="FFFFFF"/>
                <w:sz w:val="20"/>
              </w:rPr>
              <w:t>Status</w:t>
            </w:r>
          </w:p>
        </w:tc>
        <w:tc>
          <w:tcPr>
            <w:tcW w:type="dxa" w:w="4320"/>
          </w:tcPr>
          <w:p>
            <w:r>
              <w:rPr>
                <w:sz w:val="20"/>
              </w:rPr>
              <w:t>Final</w:t>
            </w:r>
          </w:p>
        </w:tc>
      </w:tr>
      <w:tr>
        <w:tc>
          <w:tcPr>
            <w:tcW w:type="dxa" w:w="4320"/>
            <w:shd w:fill="003366"/>
          </w:tcPr>
          <w:p>
            <w:r>
              <w:rPr>
                <w:b/>
                <w:color w:val="FFFFFF"/>
                <w:sz w:val="20"/>
              </w:rPr>
              <w:t>Classificatie</w:t>
            </w:r>
          </w:p>
        </w:tc>
        <w:tc>
          <w:tcPr>
            <w:tcW w:type="dxa" w:w="4320"/>
          </w:tcPr>
          <w:p>
            <w:r>
              <w:rPr>
                <w:sz w:val="20"/>
              </w:rPr>
              <w:t>Vertrouwelijk — Intern</w:t>
            </w:r>
          </w:p>
        </w:tc>
      </w:tr>
      <w:tr>
        <w:tc>
          <w:tcPr>
            <w:tcW w:type="dxa" w:w="4320"/>
            <w:shd w:fill="003366"/>
          </w:tcPr>
          <w:p>
            <w:r>
              <w:rPr>
                <w:b/>
                <w:color w:val="FFFFFF"/>
                <w:sz w:val="20"/>
              </w:rPr>
              <w:t>Goedkeuring</w:t>
            </w:r>
          </w:p>
        </w:tc>
        <w:tc>
          <w:tcPr>
            <w:tcW w:type="dxa" w:w="4320"/>
          </w:tcPr>
          <w:p>
            <w:r>
              <w:rPr>
                <w:sz w:val="20"/>
              </w:rPr>
              <w:t>Operations Manager Phoenix Metals B.V.</w:t>
            </w:r>
          </w:p>
        </w:tc>
      </w:tr>
    </w:tbl>
    <w:p>
      <w:r>
        <w:br w:type="page"/>
      </w:r>
    </w:p>
    <w:p>
      <w:pPr>
        <w:pStyle w:val="Heading1"/>
      </w:pPr>
      <w:r>
        <w:rPr>
          <w:rFonts w:ascii="Calibri" w:hAnsi="Calibri"/>
          <w:color w:val="003366"/>
        </w:rPr>
        <w:t>1. Doel &amp; Scope</w:t>
      </w:r>
    </w:p>
    <w:p>
      <w:r>
        <w:t>Dit document definieert de procedure voor noodinspectie en herstel na een incident bij Phoenix Metals B.V., conform BRZO 2015 Artikel 11 [1]. Het waarborgt dat na een incident de installatie systematisch wordt geïnspecteerd, schade wordt beoordeeld, oorzaken worden vastgesteld en herstel veilig wordt uitgevoerd voordat de installatie wordt herstart.</w:t>
      </w:r>
    </w:p>
    <w:p>
      <w:pPr>
        <w:pStyle w:val="Heading2"/>
      </w:pPr>
      <w:r>
        <w:rPr>
          <w:rFonts w:ascii="Calibri" w:hAnsi="Calibri"/>
          <w:color w:val="003366"/>
        </w:rPr>
        <w:t>1.1 Scope</w:t>
      </w:r>
    </w:p>
    <w:p>
      <w:r>
        <w:t>Deze procedure is van toepassing op alle procesinstallaties van Phoenix Metals B.V. te IJmuiden, inclusief:</w:t>
      </w:r>
    </w:p>
    <w:p>
      <w:pPr>
        <w:pStyle w:val="ListBullet"/>
      </w:pPr>
      <w:r>
        <w:t>Uitlogingsreactor en geassocieerde leidingen</w:t>
      </w:r>
    </w:p>
    <w:p>
      <w:pPr>
        <w:pStyle w:val="ListBullet"/>
      </w:pPr>
      <w:r>
        <w:t>Filtratie- en zuiveringsinstallatie</w:t>
      </w:r>
    </w:p>
    <w:p>
      <w:pPr>
        <w:pStyle w:val="ListBullet"/>
      </w:pPr>
      <w:r>
        <w:t>Droog- en calcinatieoven</w:t>
      </w:r>
    </w:p>
    <w:p>
      <w:pPr>
        <w:pStyle w:val="ListBullet"/>
      </w:pPr>
      <w:r>
        <w:t>Opslagfaciliteiten (H₂SO₄, NaOH, V₂O₅, CaO)</w:t>
      </w:r>
    </w:p>
    <w:p>
      <w:pPr>
        <w:pStyle w:val="ListBullet"/>
      </w:pPr>
      <w:r>
        <w:t>Hulpsystemen (elektra, instrumentatie, bluswater, gasdetectie)</w:t>
      </w:r>
    </w:p>
    <w:p>
      <w:r>
        <w:t>Alle incidentniveaus (Geel, Oranje, Rood, Zwart) vallen onder deze procedure. De intensiteit van inspectie en herstel schaalt mee met het ernstniveau.</w:t>
      </w:r>
    </w:p>
    <w:p>
      <w:pPr>
        <w:pStyle w:val="Heading2"/>
      </w:pPr>
      <w:r>
        <w:rPr>
          <w:rFonts w:ascii="Calibri" w:hAnsi="Calibri"/>
          <w:color w:val="003366"/>
        </w:rPr>
        <w:t>1.2 Koppelingen</w:t>
      </w:r>
    </w:p>
    <w:p>
      <w:r>
        <w:t>PSSR (Pre-Startup Safety Review) — Element 3 Document #08 [2]: De herstartfase (Fase 7) volgt het PSSR-protocol.</w:t>
        <w:br/>
        <w:t>Onderhoudsmanagement — Element 3 Document #05 [3]: Herstelwerkzaamheden volgen het onderhoudsmanagementprotocol.</w:t>
        <w:br/>
        <w:t>BowTie Analyse — Element 2 Document #08 [5]: Oorzaakanalyse koppelt aan bestaande BowTie-barrières.</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Wetgeving / Norm</w:t>
            </w:r>
          </w:p>
        </w:tc>
        <w:tc>
          <w:tcPr>
            <w:tcW w:type="dxa" w:w="4320"/>
            <w:shd w:fill="003366"/>
          </w:tcPr>
          <w:p>
            <w:pPr>
              <w:jc w:val="center"/>
            </w:pPr>
            <w:r>
              <w:rPr>
                <w:b/>
                <w:color w:val="FFFFFF"/>
                <w:sz w:val="20"/>
              </w:rPr>
              <w:t>Relevantie</w:t>
            </w:r>
          </w:p>
        </w:tc>
      </w:tr>
      <w:tr>
        <w:tc>
          <w:tcPr>
            <w:tcW w:type="dxa" w:w="4320"/>
          </w:tcPr>
          <w:p>
            <w:r>
              <w:rPr>
                <w:sz w:val="20"/>
              </w:rPr>
              <w:t>BRZO 2015 (Besluit risico's zware ongevallen)</w:t>
            </w:r>
          </w:p>
        </w:tc>
        <w:tc>
          <w:tcPr>
            <w:tcW w:type="dxa" w:w="4320"/>
          </w:tcPr>
          <w:p>
            <w:r>
              <w:rPr>
                <w:sz w:val="20"/>
              </w:rPr>
              <w:t>Art. 11 — Maatregelen na een zwaar ongeval; inspectie en herstel voordat activiteiten worden hervat. Art. 10 — Noodplanning en interne noodmaatregelen. [1]</w:t>
            </w:r>
          </w:p>
        </w:tc>
      </w:tr>
      <w:tr>
        <w:tc>
          <w:tcPr>
            <w:tcW w:type="dxa" w:w="4320"/>
            <w:shd w:fill="D9E2F3"/>
          </w:tcPr>
          <w:p>
            <w:r>
              <w:rPr>
                <w:sz w:val="20"/>
              </w:rPr>
              <w:t>Arbowet (Arbeidsomstandighedenwet)</w:t>
            </w:r>
          </w:p>
        </w:tc>
        <w:tc>
          <w:tcPr>
            <w:tcW w:type="dxa" w:w="4320"/>
            <w:shd w:fill="D9E2F3"/>
          </w:tcPr>
          <w:p>
            <w:r>
              <w:rPr>
                <w:sz w:val="20"/>
              </w:rPr>
              <w:t>Art. 3 — Systematische aanpak van risico's. Art. 12 — Ongevalonderzoek en -registratie.</w:t>
            </w:r>
          </w:p>
        </w:tc>
      </w:tr>
      <w:tr>
        <w:tc>
          <w:tcPr>
            <w:tcW w:type="dxa" w:w="4320"/>
          </w:tcPr>
          <w:p>
            <w:r>
              <w:rPr>
                <w:sz w:val="20"/>
              </w:rPr>
              <w:t>Wet milieubeheer</w:t>
            </w:r>
          </w:p>
        </w:tc>
        <w:tc>
          <w:tcPr>
            <w:tcW w:type="dxa" w:w="4320"/>
          </w:tcPr>
          <w:p>
            <w:r>
              <w:rPr>
                <w:sz w:val="20"/>
              </w:rPr>
              <w:t>Titel 8.2 — Vergunningplichtige inrichtingen; herstel na milieu-incident; meldingsplicht.</w:t>
            </w:r>
          </w:p>
        </w:tc>
      </w:tr>
      <w:tr>
        <w:tc>
          <w:tcPr>
            <w:tcW w:type="dxa" w:w="4320"/>
            <w:shd w:fill="D9E2F3"/>
          </w:tcPr>
          <w:p>
            <w:r>
              <w:rPr>
                <w:sz w:val="20"/>
              </w:rPr>
              <w:t>Besluit Drukapparatuur</w:t>
            </w:r>
          </w:p>
        </w:tc>
        <w:tc>
          <w:tcPr>
            <w:tcW w:type="dxa" w:w="4320"/>
            <w:shd w:fill="D9E2F3"/>
          </w:tcPr>
          <w:p>
            <w:r>
              <w:rPr>
                <w:sz w:val="20"/>
              </w:rPr>
              <w:t>Inspectie- en keuringsvereisten voor drukhoudende apparatuur na incident.</w:t>
            </w:r>
          </w:p>
        </w:tc>
      </w:tr>
      <w:tr>
        <w:tc>
          <w:tcPr>
            <w:tcW w:type="dxa" w:w="4320"/>
          </w:tcPr>
          <w:p>
            <w:r>
              <w:rPr>
                <w:sz w:val="20"/>
              </w:rPr>
              <w:t>ATEX Richtlijn / Arbobesluit Hoofdstuk 3</w:t>
            </w:r>
          </w:p>
        </w:tc>
        <w:tc>
          <w:tcPr>
            <w:tcW w:type="dxa" w:w="4320"/>
          </w:tcPr>
          <w:p>
            <w:r>
              <w:rPr>
                <w:sz w:val="20"/>
              </w:rPr>
              <w:t>Inspectie van explosieveiligheid na incident in ATEX-zone.</w:t>
            </w:r>
          </w:p>
        </w:tc>
      </w:tr>
    </w:tbl>
    <w:p>
      <w:pPr>
        <w:pStyle w:val="Heading1"/>
      </w:pPr>
      <w:r>
        <w:rPr>
          <w:rFonts w:ascii="Calibri" w:hAnsi="Calibri"/>
          <w:color w:val="003366"/>
        </w:rPr>
        <w:t>3. Definities</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Term</w:t>
            </w:r>
          </w:p>
        </w:tc>
        <w:tc>
          <w:tcPr>
            <w:tcW w:type="dxa" w:w="4320"/>
            <w:shd w:fill="003366"/>
          </w:tcPr>
          <w:p>
            <w:pPr>
              <w:jc w:val="center"/>
            </w:pPr>
            <w:r>
              <w:rPr>
                <w:b/>
                <w:color w:val="FFFFFF"/>
                <w:sz w:val="20"/>
              </w:rPr>
              <w:t>Definitie</w:t>
            </w:r>
          </w:p>
        </w:tc>
      </w:tr>
      <w:tr>
        <w:tc>
          <w:tcPr>
            <w:tcW w:type="dxa" w:w="4320"/>
          </w:tcPr>
          <w:p>
            <w:r>
              <w:rPr>
                <w:sz w:val="20"/>
              </w:rPr>
              <w:t>Noodinspectie</w:t>
            </w:r>
          </w:p>
        </w:tc>
        <w:tc>
          <w:tcPr>
            <w:tcW w:type="dxa" w:w="4320"/>
          </w:tcPr>
          <w:p>
            <w:r>
              <w:rPr>
                <w:sz w:val="20"/>
              </w:rPr>
              <w:t>Systematische inspectie van installatieonderdelen na een incident om de veiligheidsstatus vast te stellen.</w:t>
            </w:r>
          </w:p>
        </w:tc>
      </w:tr>
      <w:tr>
        <w:tc>
          <w:tcPr>
            <w:tcW w:type="dxa" w:w="4320"/>
            <w:shd w:fill="D9E2F3"/>
          </w:tcPr>
          <w:p>
            <w:r>
              <w:rPr>
                <w:sz w:val="20"/>
              </w:rPr>
              <w:t>Schadebeoordeling</w:t>
            </w:r>
          </w:p>
        </w:tc>
        <w:tc>
          <w:tcPr>
            <w:tcW w:type="dxa" w:w="4320"/>
            <w:shd w:fill="D9E2F3"/>
          </w:tcPr>
          <w:p>
            <w:r>
              <w:rPr>
                <w:sz w:val="20"/>
              </w:rPr>
              <w:t>Gestructureerde evaluatie van de omvang en ernst van schade aan apparatuur, structuren en systemen.</w:t>
            </w:r>
          </w:p>
        </w:tc>
      </w:tr>
      <w:tr>
        <w:tc>
          <w:tcPr>
            <w:tcW w:type="dxa" w:w="4320"/>
          </w:tcPr>
          <w:p>
            <w:r>
              <w:rPr>
                <w:sz w:val="20"/>
              </w:rPr>
              <w:t>Controlled Restart</w:t>
            </w:r>
          </w:p>
        </w:tc>
        <w:tc>
          <w:tcPr>
            <w:tcW w:type="dxa" w:w="4320"/>
          </w:tcPr>
          <w:p>
            <w:r>
              <w:rPr>
                <w:sz w:val="20"/>
              </w:rPr>
              <w:t>Gecontroleerde herstart van (delen van) de installatie na voltooiing van herstel en PSSR-goedkeuring.</w:t>
            </w:r>
          </w:p>
        </w:tc>
      </w:tr>
      <w:tr>
        <w:tc>
          <w:tcPr>
            <w:tcW w:type="dxa" w:w="4320"/>
            <w:shd w:fill="D9E2F3"/>
          </w:tcPr>
          <w:p>
            <w:r>
              <w:rPr>
                <w:sz w:val="20"/>
              </w:rPr>
              <w:t>Hot Tap</w:t>
            </w:r>
          </w:p>
        </w:tc>
        <w:tc>
          <w:tcPr>
            <w:tcW w:type="dxa" w:w="4320"/>
            <w:shd w:fill="D9E2F3"/>
          </w:tcPr>
          <w:p>
            <w:r>
              <w:rPr>
                <w:sz w:val="20"/>
              </w:rPr>
              <w:t>Techniek voor het maken van een aansluiting op een onder druk staande leiding; uitsluitend door gecertificeerde uitvoerders.</w:t>
            </w:r>
          </w:p>
        </w:tc>
      </w:tr>
      <w:tr>
        <w:tc>
          <w:tcPr>
            <w:tcW w:type="dxa" w:w="4320"/>
          </w:tcPr>
          <w:p>
            <w:r>
              <w:rPr>
                <w:sz w:val="20"/>
              </w:rPr>
              <w:t>Incident Investigation</w:t>
            </w:r>
          </w:p>
        </w:tc>
        <w:tc>
          <w:tcPr>
            <w:tcW w:type="dxa" w:w="4320"/>
          </w:tcPr>
          <w:p>
            <w:r>
              <w:rPr>
                <w:sz w:val="20"/>
              </w:rPr>
              <w:t>Gestructureerd onderzoek naar de oorzaak van een incident, inclusief root cause analysis.</w:t>
            </w:r>
          </w:p>
        </w:tc>
      </w:tr>
      <w:tr>
        <w:tc>
          <w:tcPr>
            <w:tcW w:type="dxa" w:w="4320"/>
            <w:shd w:fill="D9E2F3"/>
          </w:tcPr>
          <w:p>
            <w:r>
              <w:rPr>
                <w:sz w:val="20"/>
              </w:rPr>
              <w:t>PSSR</w:t>
            </w:r>
          </w:p>
        </w:tc>
        <w:tc>
          <w:tcPr>
            <w:tcW w:type="dxa" w:w="4320"/>
            <w:shd w:fill="D9E2F3"/>
          </w:tcPr>
          <w:p>
            <w:r>
              <w:rPr>
                <w:sz w:val="20"/>
              </w:rPr>
              <w:t>Pre-Startup Safety Review — Veiligheidsbeoordeling vóór herstart van een installatie [2].</w:t>
            </w:r>
          </w:p>
        </w:tc>
      </w:tr>
      <w:tr>
        <w:tc>
          <w:tcPr>
            <w:tcW w:type="dxa" w:w="4320"/>
          </w:tcPr>
          <w:p>
            <w:r>
              <w:rPr>
                <w:sz w:val="20"/>
              </w:rPr>
              <w:t>LOTO</w:t>
            </w:r>
          </w:p>
        </w:tc>
        <w:tc>
          <w:tcPr>
            <w:tcW w:type="dxa" w:w="4320"/>
          </w:tcPr>
          <w:p>
            <w:r>
              <w:rPr>
                <w:sz w:val="20"/>
              </w:rPr>
              <w:t>Lock-Out/Tag-Out — Procedure om energiedragers veilig te isoleren en vergrendelen.</w:t>
            </w:r>
          </w:p>
        </w:tc>
      </w:tr>
      <w:tr>
        <w:tc>
          <w:tcPr>
            <w:tcW w:type="dxa" w:w="4320"/>
            <w:shd w:fill="D9E2F3"/>
          </w:tcPr>
          <w:p>
            <w:r>
              <w:rPr>
                <w:sz w:val="20"/>
              </w:rPr>
              <w:t>MoC</w:t>
            </w:r>
          </w:p>
        </w:tc>
        <w:tc>
          <w:tcPr>
            <w:tcW w:type="dxa" w:w="4320"/>
            <w:shd w:fill="D9E2F3"/>
          </w:tcPr>
          <w:p>
            <w:r>
              <w:rPr>
                <w:sz w:val="20"/>
              </w:rPr>
              <w:t>Management of Change — Procedure voor het beheersen van wijzigingen aan installaties [4].</w:t>
            </w:r>
          </w:p>
        </w:tc>
      </w:tr>
      <w:tr>
        <w:tc>
          <w:tcPr>
            <w:tcW w:type="dxa" w:w="4320"/>
          </w:tcPr>
          <w:p>
            <w:r>
              <w:rPr>
                <w:sz w:val="20"/>
              </w:rPr>
              <w:t>TRA</w:t>
            </w:r>
          </w:p>
        </w:tc>
        <w:tc>
          <w:tcPr>
            <w:tcW w:type="dxa" w:w="4320"/>
          </w:tcPr>
          <w:p>
            <w:r>
              <w:rPr>
                <w:sz w:val="20"/>
              </w:rPr>
              <w:t>Task Risk Analysis — Taakgebonden risicobeoordeling voor specifieke werkzaamheden.</w:t>
            </w:r>
          </w:p>
        </w:tc>
      </w:tr>
    </w:tbl>
    <w:p>
      <w:pPr>
        <w:pStyle w:val="Heading1"/>
      </w:pPr>
      <w:r>
        <w:rPr>
          <w:rFonts w:ascii="Calibri" w:hAnsi="Calibri"/>
          <w:color w:val="003366"/>
        </w:rPr>
        <w:t>4. Fasen van Herstel</w:t>
      </w:r>
    </w:p>
    <w:p>
      <w:r>
        <w:t>Het herstelproces na een incident doorloopt zeven opeenvolgende fasen. Elke fase moet zijn afgerond voordat de volgende fase start. Parallelle uitvoering van fasen is niet toegestaan, tenzij expliciet goedgekeurd door de Crisisleider.</w:t>
      </w:r>
    </w:p>
    <w:p>
      <w:pPr>
        <w:pStyle w:val="Heading2"/>
      </w:pPr>
      <w:r>
        <w:rPr>
          <w:rFonts w:ascii="Calibri" w:hAnsi="Calibri"/>
          <w:color w:val="003366"/>
        </w:rPr>
        <w:t>4.1 Fase 1: Locatie Veiligstelling (0–4 uur)</w:t>
      </w:r>
    </w:p>
    <w:p>
      <w:pPr>
        <w:pStyle w:val="ListBullet"/>
      </w:pPr>
      <w:r>
        <w:t>Doel: Veilĳstellen van de incidentlocatie voor onderzoek en verdere acties.</w:t>
      </w:r>
    </w:p>
    <w:p>
      <w:r>
        <w:rPr>
          <w:b/>
        </w:rPr>
        <w:t xml:space="preserve">Verantwoordelĳken: </w:t>
      </w:r>
      <w:r>
        <w:t>Crisisleider (Operations Manager) + HSEQ Manager</w:t>
      </w:r>
    </w:p>
    <w:p>
      <w:pPr>
        <w:pStyle w:val="ListBullet"/>
      </w:pPr>
      <w:r>
        <w:t>Activiteiten:</w:t>
      </w:r>
    </w:p>
    <w:p>
      <w:pPr>
        <w:pStyle w:val="ListBullet2"/>
      </w:pPr>
      <w:r>
        <w:t>Toegang verbieden tot de incidentlocatie — fysieke afzetting door BHV/hulpdiensten</w:t>
      </w:r>
    </w:p>
    <w:p>
      <w:pPr>
        <w:pStyle w:val="ListBullet2"/>
      </w:pPr>
      <w:r>
        <w:t>Energiestatus veiligstellen — LOTO op alle energiedragers (elektrisch, hydraulisch, pneumatisch, thermisch)</w:t>
      </w:r>
    </w:p>
    <w:p>
      <w:pPr>
        <w:pStyle w:val="ListBullet2"/>
      </w:pPr>
      <w:r>
        <w:t>Gasmeting en stofmeting uitvoeren — H₂S, LEL, O₂, SO₂, V₂O₅-stof met draagbare detectie</w:t>
      </w:r>
    </w:p>
    <w:p>
      <w:pPr>
        <w:pStyle w:val="ListBullet2"/>
      </w:pPr>
      <w:r>
        <w:t>Foto- en video documentatie van de locatie — timestamp en locatiecode per opname</w:t>
      </w:r>
    </w:p>
    <w:p>
      <w:pPr>
        <w:pStyle w:val="ListBullet2"/>
      </w:pPr>
      <w:r>
        <w:t>Logboek starten — alle acties, tijdstippen en betrokkenen registreren</w:t>
      </w:r>
    </w:p>
    <w:p>
      <w:pPr>
        <w:pStyle w:val="Heading2"/>
      </w:pPr>
      <w:r>
        <w:rPr>
          <w:rFonts w:ascii="Calibri" w:hAnsi="Calibri"/>
          <w:color w:val="003366"/>
        </w:rPr>
        <w:t>4.2 Fase 2: Initiële Schadebeoordeling (4–24 uur)</w:t>
      </w:r>
    </w:p>
    <w:p>
      <w:pPr>
        <w:pStyle w:val="ListBullet"/>
      </w:pPr>
      <w:r>
        <w:t>Doel: Inzicht krijgen in de omvang en ernst van de schade.</w:t>
      </w:r>
    </w:p>
    <w:p>
      <w:pPr>
        <w:pStyle w:val="ListBullet"/>
      </w:pPr>
      <w:r>
        <w:t>Inspectie-activiteiten:</w:t>
      </w:r>
    </w:p>
    <w:p>
      <w:pPr>
        <w:pStyle w:val="ListBullet2"/>
      </w:pPr>
      <w:r>
        <w:t>Visuele inspectie vanaf veilige afstand — drone-inzet waar nuttig</w:t>
      </w:r>
    </w:p>
    <w:p>
      <w:pPr>
        <w:pStyle w:val="ListBullet2"/>
      </w:pPr>
      <w:r>
        <w:t>Structurele beoordeling: gebouwen, steunconstructies, funderingen, leidingbruggen</w:t>
      </w:r>
    </w:p>
    <w:p>
      <w:pPr>
        <w:pStyle w:val="ListBullet2"/>
      </w:pPr>
      <w:r>
        <w:t>Apparaat- en behuizinginspectie: reactor, tanks, leidingen, kleppen, flenzen</w:t>
      </w:r>
    </w:p>
    <w:p>
      <w:pPr>
        <w:pStyle w:val="ListBullet2"/>
      </w:pPr>
      <w:r>
        <w:t>Instrumentatie status check — werking transmitters, schakelaars, SIS-elementen</w:t>
      </w:r>
    </w:p>
    <w:p>
      <w:pPr>
        <w:pStyle w:val="ListBullet2"/>
      </w:pPr>
      <w:r>
        <w:t>Elektrische installatie veiligheidscheck — visueel, geen spanning zonder goedkeuring</w:t>
      </w:r>
    </w:p>
    <w:p>
      <w:pPr>
        <w:pStyle w:val="ListBullet2"/>
      </w:pPr>
      <w:r>
        <w:t>Milieuschade inventarisatie — bodem, oppervlaktewater, afvoerriolen</w:t>
      </w:r>
    </w:p>
    <w:p>
      <w:pPr>
        <w:pStyle w:val="ListBullet"/>
      </w:pPr>
      <w:r>
        <w:t>Output: Initiëel schaderapport met classificatie per installatieonderdeel.</w:t>
      </w:r>
    </w:p>
    <w:p>
      <w:pPr>
        <w:pStyle w:val="Heading2"/>
      </w:pPr>
      <w:r>
        <w:rPr>
          <w:rFonts w:ascii="Calibri" w:hAnsi="Calibri"/>
          <w:color w:val="003366"/>
        </w:rPr>
        <w:t>4.3 Fase 3: Incident Onderzoek (24–72 uur)</w:t>
      </w:r>
    </w:p>
    <w:p>
      <w:pPr>
        <w:pStyle w:val="ListBullet"/>
      </w:pPr>
      <w:r>
        <w:t>Doel: Oorzaak van het incident vaststellen en terugdringende maatregelen identificeren.</w:t>
      </w:r>
    </w:p>
    <w:p>
      <w:pPr>
        <w:pStyle w:val="ListBullet"/>
      </w:pPr>
      <w:r>
        <w:t>Type onderzoek op basis van incidentniveau:</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Incidentniveau</w:t>
            </w:r>
          </w:p>
        </w:tc>
        <w:tc>
          <w:tcPr>
            <w:tcW w:type="dxa" w:w="4320"/>
            <w:shd w:fill="003366"/>
          </w:tcPr>
          <w:p>
            <w:pPr>
              <w:jc w:val="center"/>
            </w:pPr>
            <w:r>
              <w:rPr>
                <w:b/>
                <w:color w:val="FFFFFF"/>
                <w:sz w:val="20"/>
              </w:rPr>
              <w:t>Onderzoektype</w:t>
            </w:r>
          </w:p>
        </w:tc>
      </w:tr>
      <w:tr>
        <w:tc>
          <w:tcPr>
            <w:tcW w:type="dxa" w:w="4320"/>
          </w:tcPr>
          <w:p>
            <w:r>
              <w:rPr>
                <w:sz w:val="20"/>
              </w:rPr>
              <w:t>Geel (Waarschuwing)</w:t>
            </w:r>
          </w:p>
        </w:tc>
        <w:tc>
          <w:tcPr>
            <w:tcW w:type="dxa" w:w="4320"/>
          </w:tcPr>
          <w:p>
            <w:r>
              <w:rPr>
                <w:sz w:val="20"/>
              </w:rPr>
              <w:t>Intern onderzoek door HSEQ-team</w:t>
            </w:r>
          </w:p>
        </w:tc>
      </w:tr>
      <w:tr>
        <w:tc>
          <w:tcPr>
            <w:tcW w:type="dxa" w:w="4320"/>
            <w:shd w:fill="D9E2F3"/>
          </w:tcPr>
          <w:p>
            <w:r>
              <w:rPr>
                <w:sz w:val="20"/>
              </w:rPr>
              <w:t>Oranje (Verhoogd)</w:t>
            </w:r>
          </w:p>
        </w:tc>
        <w:tc>
          <w:tcPr>
            <w:tcW w:type="dxa" w:w="4320"/>
            <w:shd w:fill="D9E2F3"/>
          </w:tcPr>
          <w:p>
            <w:r>
              <w:rPr>
                <w:sz w:val="20"/>
              </w:rPr>
              <w:t>Uitgebreid onderzoek + directiebetrokkenheid</w:t>
            </w:r>
          </w:p>
        </w:tc>
      </w:tr>
      <w:tr>
        <w:tc>
          <w:tcPr>
            <w:tcW w:type="dxa" w:w="4320"/>
          </w:tcPr>
          <w:p>
            <w:r>
              <w:rPr>
                <w:sz w:val="20"/>
              </w:rPr>
              <w:t>Rood (Alarm) / Zwart (Crisis)</w:t>
            </w:r>
          </w:p>
        </w:tc>
        <w:tc>
          <w:tcPr>
            <w:tcW w:type="dxa" w:w="4320"/>
          </w:tcPr>
          <w:p>
            <w:r>
              <w:rPr>
                <w:sz w:val="20"/>
              </w:rPr>
              <w:t>Extern onderzoek + Arbeidsinspectie</w:t>
            </w:r>
          </w:p>
        </w:tc>
      </w:tr>
    </w:tbl>
    <w:p/>
    <w:p>
      <w:pPr>
        <w:pStyle w:val="ListBullet"/>
      </w:pPr>
      <w:r>
        <w:t>Onderzoeksmethodieken:</w:t>
      </w:r>
    </w:p>
    <w:p>
      <w:pPr>
        <w:pStyle w:val="ListBullet2"/>
      </w:pPr>
      <w:r>
        <w:t>Tripod Beta — Systeemfaalanalyse</w:t>
      </w:r>
    </w:p>
    <w:p>
      <w:pPr>
        <w:pStyle w:val="ListBullet2"/>
      </w:pPr>
      <w:r>
        <w:t>BowTie Analysis — Koppeling met Element 2 Doc #08 [5]</w:t>
      </w:r>
    </w:p>
    <w:p>
      <w:pPr>
        <w:pStyle w:val="ListBullet2"/>
      </w:pPr>
      <w:r>
        <w:t>Root Cause Analysis (RCA) — 5-Why, Fishbone-diagram</w:t>
      </w:r>
    </w:p>
    <w:p>
      <w:pPr>
        <w:pStyle w:val="ListBullet"/>
      </w:pPr>
      <w:r>
        <w:t>Output: Incidentrapport met oorzaakanalyse, aanbevelingen en verbeteracties.</w:t>
      </w:r>
    </w:p>
    <w:p>
      <w:pPr>
        <w:pStyle w:val="Heading2"/>
      </w:pPr>
      <w:r>
        <w:rPr>
          <w:rFonts w:ascii="Calibri" w:hAnsi="Calibri"/>
          <w:color w:val="003366"/>
        </w:rPr>
        <w:t>4.4 Fase 4: Herstelplan Opstellen (72 uur – 1 week)</w:t>
      </w:r>
    </w:p>
    <w:p>
      <w:pPr>
        <w:pStyle w:val="ListBullet"/>
      </w:pPr>
      <w:r>
        <w:t>Doel: Opstellen van een gedetailleerd plan voor veilig herstel.</w:t>
      </w:r>
    </w:p>
    <w:p>
      <w:pPr>
        <w:pStyle w:val="ListBullet"/>
      </w:pPr>
      <w:r>
        <w:t>Inhoud herstelplan:</w:t>
      </w:r>
    </w:p>
    <w:p>
      <w:pPr>
        <w:pStyle w:val="ListBullet2"/>
      </w:pPr>
      <w:r>
        <w:t>Overzicht te vervangen en/of te repareren onderdelen met specificaties</w:t>
      </w:r>
    </w:p>
    <w:p>
      <w:pPr>
        <w:pStyle w:val="ListBullet2"/>
      </w:pPr>
      <w:r>
        <w:t>Benodigde middelen: materiaal, gereedschap, expertise (intern/extern)</w:t>
      </w:r>
    </w:p>
    <w:p>
      <w:pPr>
        <w:pStyle w:val="ListBullet2"/>
      </w:pPr>
      <w:r>
        <w:t>Tijdlijn met mijlpalen en kritiek pad</w:t>
      </w:r>
    </w:p>
    <w:p>
      <w:pPr>
        <w:pStyle w:val="ListBullet2"/>
      </w:pPr>
      <w:r>
        <w:t>Tijdelijke maatregelen indien deels herstart wordt overwogen</w:t>
      </w:r>
    </w:p>
    <w:p>
      <w:pPr>
        <w:pStyle w:val="ListBullet2"/>
      </w:pPr>
      <w:r>
        <w:t>Risicobeoordeling herstelwerkzaamheden — TRA per activiteit</w:t>
      </w:r>
    </w:p>
    <w:p>
      <w:pPr>
        <w:pStyle w:val="ListBullet2"/>
      </w:pPr>
      <w:r>
        <w:t>MoC-procedure indien wijzigingen ten opzichte van origineel ontwerp (PE-295-01) [4]</w:t>
      </w:r>
    </w:p>
    <w:p>
      <w:pPr>
        <w:pStyle w:val="ListBullet"/>
      </w:pPr>
      <w:r>
        <w:t>Goedkeuring: Herstelplan vereist handtekening Operations Manager + HSEQ Manager.</w:t>
      </w:r>
    </w:p>
    <w:p>
      <w:pPr>
        <w:pStyle w:val="Heading2"/>
      </w:pPr>
      <w:r>
        <w:rPr>
          <w:rFonts w:ascii="Calibri" w:hAnsi="Calibri"/>
          <w:color w:val="003366"/>
        </w:rPr>
        <w:t>4.5 Fase 5: Uitvoering Herstelwerkzaamheden</w:t>
      </w:r>
    </w:p>
    <w:p>
      <w:r>
        <w:t>Alle herstelwerkzaamheden verlopen via het Control of Work-systeem (Element 3 Doc #01) [2].</w:t>
      </w:r>
    </w:p>
    <w:p>
      <w:pPr>
        <w:pStyle w:val="ListBullet"/>
      </w:pPr>
      <w:r>
        <w:t>Randvoorwaarden:</w:t>
      </w:r>
    </w:p>
    <w:p>
      <w:pPr>
        <w:pStyle w:val="ListBullet2"/>
      </w:pPr>
      <w:r>
        <w:t>Werkvergunning (CoW) per activiteit — geen werk zonder geldige vergunning</w:t>
      </w:r>
    </w:p>
    <w:p>
      <w:pPr>
        <w:pStyle w:val="ListBullet2"/>
      </w:pPr>
      <w:r>
        <w:t>LOTO waar energiedragers betrokken zijn</w:t>
      </w:r>
    </w:p>
    <w:p>
      <w:pPr>
        <w:pStyle w:val="ListBullet2"/>
      </w:pPr>
      <w:r>
        <w:t>TRA voor elke afzonderlijke herstelactiviteit</w:t>
      </w:r>
    </w:p>
    <w:p>
      <w:pPr>
        <w:pStyle w:val="ListBullet2"/>
      </w:pPr>
      <w:r>
        <w:t>Continue monitoring door HSEQ tijdens herstelwerkzaamheden</w:t>
      </w:r>
    </w:p>
    <w:p>
      <w:pPr>
        <w:pStyle w:val="ListBullet2"/>
      </w:pPr>
      <w:r>
        <w:t>Dagelijks overleg herstelteam — voortgang en veiligheid</w:t>
      </w:r>
    </w:p>
    <w:p>
      <w:pPr>
        <w:pStyle w:val="Heading2"/>
      </w:pPr>
      <w:r>
        <w:rPr>
          <w:rFonts w:ascii="Calibri" w:hAnsi="Calibri"/>
          <w:color w:val="003366"/>
        </w:rPr>
        <w:t>4.6 Fase 6: Post-Herstel Inspectie</w:t>
      </w:r>
    </w:p>
    <w:p>
      <w:pPr>
        <w:pStyle w:val="ListBullet"/>
      </w:pPr>
      <w:r>
        <w:t>Doel: Verifiëren dat alle herstelde onderdelen voldoen aan de specificaties.</w:t>
      </w:r>
    </w:p>
    <w:p>
      <w:pPr>
        <w:pStyle w:val="ListBullet"/>
      </w:pPr>
      <w:r>
        <w:t>Inspectie-activiteiten:</w:t>
      </w:r>
    </w:p>
    <w:p>
      <w:pPr>
        <w:pStyle w:val="ListBullet2"/>
      </w:pPr>
      <w:r>
        <w:t>Alle herstelde onderdelen visueel en dimensioneel geïnspecteerd</w:t>
      </w:r>
    </w:p>
    <w:p>
      <w:pPr>
        <w:pStyle w:val="ListBullet2"/>
      </w:pPr>
      <w:r>
        <w:t>Druktesten op herstelde leidingen en tanks — conform Besluit Drukapparatuur</w:t>
      </w:r>
    </w:p>
    <w:p>
      <w:pPr>
        <w:pStyle w:val="ListBullet2"/>
      </w:pPr>
      <w:r>
        <w:t>Elektrische keuring bij betrokken elektra — conform NEN 1010/NEN 3140</w:t>
      </w:r>
    </w:p>
    <w:p>
      <w:pPr>
        <w:pStyle w:val="ListBullet2"/>
      </w:pPr>
      <w:r>
        <w:t>Kalibratie van herstelde/vervangen instrumentatie</w:t>
      </w:r>
    </w:p>
    <w:p>
      <w:pPr>
        <w:pStyle w:val="ListBullet2"/>
      </w:pPr>
      <w:r>
        <w:t>Functionele tests van veiligheidssystemen (SIS, gasdetectie, branddetectie)</w:t>
      </w:r>
    </w:p>
    <w:p>
      <w:pPr>
        <w:pStyle w:val="ListBullet"/>
      </w:pPr>
      <w:r>
        <w:t>Output: Inspectierapport met testresultaten en go/no-go per onderdeel.</w:t>
      </w:r>
    </w:p>
    <w:p>
      <w:pPr>
        <w:pStyle w:val="Heading2"/>
      </w:pPr>
      <w:r>
        <w:rPr>
          <w:rFonts w:ascii="Calibri" w:hAnsi="Calibri"/>
          <w:color w:val="003366"/>
        </w:rPr>
        <w:t>4.7 Fase 7: PSSR — Pre-Startup Safety Review</w:t>
      </w:r>
    </w:p>
    <w:p>
      <w:r>
        <w:t>De herstartfase volgt het PSSR-protocol zoals gedefinieerd in Element 3 Doc #08 [2]. Geen installatie wordt herstart zonder een voltooide PSSR.</w:t>
      </w:r>
    </w:p>
    <w:p>
      <w:pPr>
        <w:pStyle w:val="ListBullet"/>
      </w:pPr>
      <w:r>
        <w:t>PSSR-activiteiten:</w:t>
      </w:r>
    </w:p>
    <w:p>
      <w:pPr>
        <w:pStyle w:val="ListBullet2"/>
      </w:pPr>
      <w:r>
        <w:t>Volledige PSSR-checklist afwerken — alle items beantwoord</w:t>
      </w:r>
    </w:p>
    <w:p>
      <w:pPr>
        <w:pStyle w:val="ListBullet2"/>
      </w:pPr>
      <w:r>
        <w:t>Go/No-Go besluit door Operations Manager + HSEQ Manager</w:t>
      </w:r>
    </w:p>
    <w:p>
      <w:pPr>
        <w:pStyle w:val="ListBullet2"/>
      </w:pPr>
      <w:r>
        <w:t>Operatoren geïnformeerd en geïnstrueerd over herstartprocedure</w:t>
      </w:r>
    </w:p>
    <w:p>
      <w:pPr>
        <w:pStyle w:val="ListBullet2"/>
      </w:pPr>
      <w:r>
        <w:t>Hulpdiensten geïnformeerd over geplande herstart</w:t>
      </w:r>
    </w:p>
    <w:p>
      <w:pPr>
        <w:pStyle w:val="ListBullet2"/>
      </w:pPr>
      <w:r>
        <w:t>Post-startup monitoring: 72 uur intensieve bewaking</w:t>
      </w:r>
    </w:p>
    <w:p>
      <w:pPr>
        <w:pStyle w:val="Heading1"/>
      </w:pPr>
      <w:r>
        <w:rPr>
          <w:rFonts w:ascii="Calibri" w:hAnsi="Calibri"/>
          <w:color w:val="003366"/>
        </w:rPr>
        <w:t>5. Schadebeoordeling Matrix</w:t>
      </w:r>
    </w:p>
    <w:p>
      <w:r>
        <w:t>De volgende matrix classifyeert de minimale inspectie-actie per component en schadeniveau. De classificatie wordt uitgevoerd in Fase 2 door de Technisch Coördinator.</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Pr>
                <w:b/>
                <w:color w:val="FFFFFF"/>
                <w:sz w:val="20"/>
              </w:rPr>
              <w:t>Component</w:t>
            </w:r>
          </w:p>
        </w:tc>
        <w:tc>
          <w:tcPr>
            <w:tcW w:type="dxa" w:w="1728"/>
            <w:shd w:fill="003366"/>
          </w:tcPr>
          <w:p>
            <w:pPr>
              <w:jc w:val="center"/>
            </w:pPr>
            <w:r>
              <w:rPr>
                <w:b/>
                <w:color w:val="FFFFFF"/>
                <w:sz w:val="20"/>
              </w:rPr>
              <w:t>Minimaal</w:t>
            </w:r>
          </w:p>
        </w:tc>
        <w:tc>
          <w:tcPr>
            <w:tcW w:type="dxa" w:w="1728"/>
            <w:shd w:fill="003366"/>
          </w:tcPr>
          <w:p>
            <w:pPr>
              <w:jc w:val="center"/>
            </w:pPr>
            <w:r>
              <w:rPr>
                <w:b/>
                <w:color w:val="FFFFFF"/>
                <w:sz w:val="20"/>
              </w:rPr>
              <w:t>Matig</w:t>
            </w:r>
          </w:p>
        </w:tc>
        <w:tc>
          <w:tcPr>
            <w:tcW w:type="dxa" w:w="1728"/>
            <w:shd w:fill="003366"/>
          </w:tcPr>
          <w:p>
            <w:pPr>
              <w:jc w:val="center"/>
            </w:pPr>
            <w:r>
              <w:rPr>
                <w:b/>
                <w:color w:val="FFFFFF"/>
                <w:sz w:val="20"/>
              </w:rPr>
              <w:t>Ernstig</w:t>
            </w:r>
          </w:p>
        </w:tc>
        <w:tc>
          <w:tcPr>
            <w:tcW w:type="dxa" w:w="1728"/>
            <w:shd w:fill="003366"/>
          </w:tcPr>
          <w:p>
            <w:pPr>
              <w:jc w:val="center"/>
            </w:pPr>
            <w:r>
              <w:rPr>
                <w:b/>
                <w:color w:val="FFFFFF"/>
                <w:sz w:val="20"/>
              </w:rPr>
              <w:t>Vernietigd</w:t>
            </w:r>
          </w:p>
        </w:tc>
      </w:tr>
      <w:tr>
        <w:tc>
          <w:tcPr>
            <w:tcW w:type="dxa" w:w="1728"/>
          </w:tcPr>
          <w:p>
            <w:r>
              <w:rPr>
                <w:sz w:val="20"/>
              </w:rPr>
              <w:t>Reactor</w:t>
            </w:r>
          </w:p>
        </w:tc>
        <w:tc>
          <w:tcPr>
            <w:tcW w:type="dxa" w:w="1728"/>
          </w:tcPr>
          <w:p>
            <w:r>
              <w:rPr>
                <w:sz w:val="20"/>
              </w:rPr>
              <w:t>Visuele check</w:t>
            </w:r>
          </w:p>
        </w:tc>
        <w:tc>
          <w:tcPr>
            <w:tcW w:type="dxa" w:w="1728"/>
          </w:tcPr>
          <w:p>
            <w:r>
              <w:rPr>
                <w:sz w:val="20"/>
              </w:rPr>
              <w:t>Lektest + NDT</w:t>
            </w:r>
          </w:p>
        </w:tc>
        <w:tc>
          <w:tcPr>
            <w:tcW w:type="dxa" w:w="1728"/>
          </w:tcPr>
          <w:p>
            <w:r>
              <w:rPr>
                <w:sz w:val="20"/>
              </w:rPr>
              <w:t>Vervanging seal</w:t>
            </w:r>
          </w:p>
        </w:tc>
        <w:tc>
          <w:tcPr>
            <w:tcW w:type="dxa" w:w="1728"/>
          </w:tcPr>
          <w:p>
            <w:r>
              <w:rPr>
                <w:sz w:val="20"/>
              </w:rPr>
              <w:t>Volledige vervanging</w:t>
            </w:r>
          </w:p>
        </w:tc>
      </w:tr>
      <w:tr>
        <w:tc>
          <w:tcPr>
            <w:tcW w:type="dxa" w:w="1728"/>
            <w:shd w:fill="D9E2F3"/>
          </w:tcPr>
          <w:p>
            <w:r>
              <w:rPr>
                <w:sz w:val="20"/>
              </w:rPr>
              <w:t>Leidingen</w:t>
            </w:r>
          </w:p>
        </w:tc>
        <w:tc>
          <w:tcPr>
            <w:tcW w:type="dxa" w:w="1728"/>
            <w:shd w:fill="D9E2F3"/>
          </w:tcPr>
          <w:p>
            <w:r>
              <w:rPr>
                <w:sz w:val="20"/>
              </w:rPr>
              <w:t>Visueel</w:t>
            </w:r>
          </w:p>
        </w:tc>
        <w:tc>
          <w:tcPr>
            <w:tcW w:type="dxa" w:w="1728"/>
            <w:shd w:fill="D9E2F3"/>
          </w:tcPr>
          <w:p>
            <w:r>
              <w:rPr>
                <w:sz w:val="20"/>
              </w:rPr>
              <w:t>Druktest</w:t>
            </w:r>
          </w:p>
        </w:tc>
        <w:tc>
          <w:tcPr>
            <w:tcW w:type="dxa" w:w="1728"/>
            <w:shd w:fill="D9E2F3"/>
          </w:tcPr>
          <w:p>
            <w:r>
              <w:rPr>
                <w:sz w:val="20"/>
              </w:rPr>
              <w:t>Sectie vervangen</w:t>
            </w:r>
          </w:p>
        </w:tc>
        <w:tc>
          <w:tcPr>
            <w:tcW w:type="dxa" w:w="1728"/>
            <w:shd w:fill="D9E2F3"/>
          </w:tcPr>
          <w:p>
            <w:r>
              <w:rPr>
                <w:sz w:val="20"/>
              </w:rPr>
              <w:t>Nieuwe leiding</w:t>
            </w:r>
          </w:p>
        </w:tc>
      </w:tr>
      <w:tr>
        <w:tc>
          <w:tcPr>
            <w:tcW w:type="dxa" w:w="1728"/>
          </w:tcPr>
          <w:p>
            <w:r>
              <w:rPr>
                <w:sz w:val="20"/>
              </w:rPr>
              <w:t>Tanks</w:t>
            </w:r>
          </w:p>
        </w:tc>
        <w:tc>
          <w:tcPr>
            <w:tcW w:type="dxa" w:w="1728"/>
          </w:tcPr>
          <w:p>
            <w:r>
              <w:rPr>
                <w:sz w:val="20"/>
              </w:rPr>
              <w:t>Niveau check</w:t>
            </w:r>
          </w:p>
        </w:tc>
        <w:tc>
          <w:tcPr>
            <w:tcW w:type="dxa" w:w="1728"/>
          </w:tcPr>
          <w:p>
            <w:r>
              <w:rPr>
                <w:sz w:val="20"/>
              </w:rPr>
              <w:t>Lektest + wanddikte</w:t>
            </w:r>
          </w:p>
        </w:tc>
        <w:tc>
          <w:tcPr>
            <w:tcW w:type="dxa" w:w="1728"/>
          </w:tcPr>
          <w:p>
            <w:r>
              <w:rPr>
                <w:sz w:val="20"/>
              </w:rPr>
              <w:t>Repair/patch</w:t>
            </w:r>
          </w:p>
        </w:tc>
        <w:tc>
          <w:tcPr>
            <w:tcW w:type="dxa" w:w="1728"/>
          </w:tcPr>
          <w:p>
            <w:r>
              <w:rPr>
                <w:sz w:val="20"/>
              </w:rPr>
              <w:t>Vervanging</w:t>
            </w:r>
          </w:p>
        </w:tc>
      </w:tr>
      <w:tr>
        <w:tc>
          <w:tcPr>
            <w:tcW w:type="dxa" w:w="1728"/>
            <w:shd w:fill="D9E2F3"/>
          </w:tcPr>
          <w:p>
            <w:r>
              <w:rPr>
                <w:sz w:val="20"/>
              </w:rPr>
              <w:t>Elektra</w:t>
            </w:r>
          </w:p>
        </w:tc>
        <w:tc>
          <w:tcPr>
            <w:tcW w:type="dxa" w:w="1728"/>
            <w:shd w:fill="D9E2F3"/>
          </w:tcPr>
          <w:p>
            <w:r>
              <w:rPr>
                <w:sz w:val="20"/>
              </w:rPr>
              <w:t>Spanning test</w:t>
            </w:r>
          </w:p>
        </w:tc>
        <w:tc>
          <w:tcPr>
            <w:tcW w:type="dxa" w:w="1728"/>
            <w:shd w:fill="D9E2F3"/>
          </w:tcPr>
          <w:p>
            <w:r>
              <w:rPr>
                <w:sz w:val="20"/>
              </w:rPr>
              <w:t>Isolatiemeting</w:t>
            </w:r>
          </w:p>
        </w:tc>
        <w:tc>
          <w:tcPr>
            <w:tcW w:type="dxa" w:w="1728"/>
            <w:shd w:fill="D9E2F3"/>
          </w:tcPr>
          <w:p>
            <w:r>
              <w:rPr>
                <w:sz w:val="20"/>
              </w:rPr>
              <w:t>Deels vervangen</w:t>
            </w:r>
          </w:p>
        </w:tc>
        <w:tc>
          <w:tcPr>
            <w:tcW w:type="dxa" w:w="1728"/>
            <w:shd w:fill="D9E2F3"/>
          </w:tcPr>
          <w:p>
            <w:r>
              <w:rPr>
                <w:sz w:val="20"/>
              </w:rPr>
              <w:t>Nieuwe installatie</w:t>
            </w:r>
          </w:p>
        </w:tc>
      </w:tr>
      <w:tr>
        <w:tc>
          <w:tcPr>
            <w:tcW w:type="dxa" w:w="1728"/>
          </w:tcPr>
          <w:p>
            <w:r>
              <w:rPr>
                <w:sz w:val="20"/>
              </w:rPr>
              <w:t>Instrumentatie</w:t>
            </w:r>
          </w:p>
        </w:tc>
        <w:tc>
          <w:tcPr>
            <w:tcW w:type="dxa" w:w="1728"/>
          </w:tcPr>
          <w:p>
            <w:r>
              <w:rPr>
                <w:sz w:val="20"/>
              </w:rPr>
              <w:t>Kalibratie</w:t>
            </w:r>
          </w:p>
        </w:tc>
        <w:tc>
          <w:tcPr>
            <w:tcW w:type="dxa" w:w="1728"/>
          </w:tcPr>
          <w:p>
            <w:r>
              <w:rPr>
                <w:sz w:val="20"/>
              </w:rPr>
              <w:t>Vervanging sensor</w:t>
            </w:r>
          </w:p>
        </w:tc>
        <w:tc>
          <w:tcPr>
            <w:tcW w:type="dxa" w:w="1728"/>
          </w:tcPr>
          <w:p>
            <w:r>
              <w:rPr>
                <w:sz w:val="20"/>
              </w:rPr>
              <w:t>Vervanging groep</w:t>
            </w:r>
          </w:p>
        </w:tc>
        <w:tc>
          <w:tcPr>
            <w:tcW w:type="dxa" w:w="1728"/>
          </w:tcPr>
          <w:p>
            <w:r>
              <w:rPr>
                <w:sz w:val="20"/>
              </w:rPr>
              <w:t>Nieuw systeem</w:t>
            </w:r>
          </w:p>
        </w:tc>
      </w:tr>
      <w:tr>
        <w:tc>
          <w:tcPr>
            <w:tcW w:type="dxa" w:w="1728"/>
            <w:shd w:fill="D9E2F3"/>
          </w:tcPr>
          <w:p>
            <w:r>
              <w:rPr>
                <w:sz w:val="20"/>
              </w:rPr>
              <w:t>Structuur</w:t>
            </w:r>
          </w:p>
        </w:tc>
        <w:tc>
          <w:tcPr>
            <w:tcW w:type="dxa" w:w="1728"/>
            <w:shd w:fill="D9E2F3"/>
          </w:tcPr>
          <w:p>
            <w:r>
              <w:rPr>
                <w:sz w:val="20"/>
              </w:rPr>
              <w:t>Visueel</w:t>
            </w:r>
          </w:p>
        </w:tc>
        <w:tc>
          <w:tcPr>
            <w:tcW w:type="dxa" w:w="1728"/>
            <w:shd w:fill="D9E2F3"/>
          </w:tcPr>
          <w:p>
            <w:r>
              <w:rPr>
                <w:sz w:val="20"/>
              </w:rPr>
              <w:t>Versteviging</w:t>
            </w:r>
          </w:p>
        </w:tc>
        <w:tc>
          <w:tcPr>
            <w:tcW w:type="dxa" w:w="1728"/>
            <w:shd w:fill="D9E2F3"/>
          </w:tcPr>
          <w:p>
            <w:r>
              <w:rPr>
                <w:sz w:val="20"/>
              </w:rPr>
              <w:t>Reparatie</w:t>
            </w:r>
          </w:p>
        </w:tc>
        <w:tc>
          <w:tcPr>
            <w:tcW w:type="dxa" w:w="1728"/>
            <w:shd w:fill="D9E2F3"/>
          </w:tcPr>
          <w:p>
            <w:r>
              <w:rPr>
                <w:sz w:val="20"/>
              </w:rPr>
              <w:t>Herbouw</w:t>
            </w:r>
          </w:p>
        </w:tc>
      </w:tr>
    </w:tbl>
    <w:p>
      <w:pPr>
        <w:pStyle w:val="Heading1"/>
      </w:pPr>
      <w:r>
        <w:rPr>
          <w:rFonts w:ascii="Calibri" w:hAnsi="Calibri"/>
          <w:color w:val="003366"/>
        </w:rPr>
        <w:t>6. Herstart Beslissingsmatrix</w:t>
      </w:r>
    </w:p>
    <w:p>
      <w:r>
        <w:t>Alle onderstaande voorwaarden moeten zijn voldaan (status OK) voordat herstart van de installatie wordt geautoriseerd. Eén enkele afwijking = No-Go.</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Voorwaarde</w:t>
            </w:r>
          </w:p>
        </w:tc>
        <w:tc>
          <w:tcPr>
            <w:tcW w:type="dxa" w:w="4320"/>
            <w:shd w:fill="003366"/>
          </w:tcPr>
          <w:p>
            <w:pPr>
              <w:jc w:val="center"/>
            </w:pPr>
            <w:r>
              <w:rPr>
                <w:b/>
                <w:color w:val="FFFFFF"/>
                <w:sz w:val="20"/>
              </w:rPr>
              <w:t>Vereiste Status</w:t>
            </w:r>
          </w:p>
        </w:tc>
      </w:tr>
      <w:tr>
        <w:tc>
          <w:tcPr>
            <w:tcW w:type="dxa" w:w="4320"/>
          </w:tcPr>
          <w:p>
            <w:r>
              <w:rPr>
                <w:sz w:val="20"/>
              </w:rPr>
              <w:t>Alle structurele schade hersteld</w:t>
            </w:r>
          </w:p>
        </w:tc>
        <w:tc>
          <w:tcPr>
            <w:tcW w:type="dxa" w:w="4320"/>
          </w:tcPr>
          <w:p>
            <w:r>
              <w:rPr>
                <w:sz w:val="20"/>
              </w:rPr>
              <w:t>Ja</w:t>
            </w:r>
          </w:p>
        </w:tc>
      </w:tr>
      <w:tr>
        <w:tc>
          <w:tcPr>
            <w:tcW w:type="dxa" w:w="4320"/>
            <w:shd w:fill="D9E2F3"/>
          </w:tcPr>
          <w:p>
            <w:r>
              <w:rPr>
                <w:sz w:val="20"/>
              </w:rPr>
              <w:t>Alle LOTO verwijderd en gedocumenteerd</w:t>
            </w:r>
          </w:p>
        </w:tc>
        <w:tc>
          <w:tcPr>
            <w:tcW w:type="dxa" w:w="4320"/>
            <w:shd w:fill="D9E2F3"/>
          </w:tcPr>
          <w:p>
            <w:r>
              <w:rPr>
                <w:sz w:val="20"/>
              </w:rPr>
              <w:t>Ja</w:t>
            </w:r>
          </w:p>
        </w:tc>
      </w:tr>
      <w:tr>
        <w:tc>
          <w:tcPr>
            <w:tcW w:type="dxa" w:w="4320"/>
          </w:tcPr>
          <w:p>
            <w:r>
              <w:rPr>
                <w:sz w:val="20"/>
              </w:rPr>
              <w:t>Alle veiligheidssystemen getest en functioneel</w:t>
            </w:r>
          </w:p>
        </w:tc>
        <w:tc>
          <w:tcPr>
            <w:tcW w:type="dxa" w:w="4320"/>
          </w:tcPr>
          <w:p>
            <w:r>
              <w:rPr>
                <w:sz w:val="20"/>
              </w:rPr>
              <w:t>Ja</w:t>
            </w:r>
          </w:p>
        </w:tc>
      </w:tr>
      <w:tr>
        <w:tc>
          <w:tcPr>
            <w:tcW w:type="dxa" w:w="4320"/>
            <w:shd w:fill="D9E2F3"/>
          </w:tcPr>
          <w:p>
            <w:r>
              <w:rPr>
                <w:sz w:val="20"/>
              </w:rPr>
              <w:t>Instrumentatie gekalibreerd en geverifieerd</w:t>
            </w:r>
          </w:p>
        </w:tc>
        <w:tc>
          <w:tcPr>
            <w:tcW w:type="dxa" w:w="4320"/>
            <w:shd w:fill="D9E2F3"/>
          </w:tcPr>
          <w:p>
            <w:r>
              <w:rPr>
                <w:sz w:val="20"/>
              </w:rPr>
              <w:t>Ja</w:t>
            </w:r>
          </w:p>
        </w:tc>
      </w:tr>
      <w:tr>
        <w:tc>
          <w:tcPr>
            <w:tcW w:type="dxa" w:w="4320"/>
          </w:tcPr>
          <w:p>
            <w:r>
              <w:rPr>
                <w:sz w:val="20"/>
              </w:rPr>
              <w:t>PSSR Go/No-Go besluit</w:t>
            </w:r>
          </w:p>
        </w:tc>
        <w:tc>
          <w:tcPr>
            <w:tcW w:type="dxa" w:w="4320"/>
          </w:tcPr>
          <w:p>
            <w:r>
              <w:rPr>
                <w:sz w:val="20"/>
              </w:rPr>
              <w:t>Go</w:t>
            </w:r>
          </w:p>
        </w:tc>
      </w:tr>
      <w:tr>
        <w:tc>
          <w:tcPr>
            <w:tcW w:type="dxa" w:w="4320"/>
            <w:shd w:fill="D9E2F3"/>
          </w:tcPr>
          <w:p>
            <w:r>
              <w:rPr>
                <w:sz w:val="20"/>
              </w:rPr>
              <w:t>Operatoren geïnformeerd + getraind op wijzigingen</w:t>
            </w:r>
          </w:p>
        </w:tc>
        <w:tc>
          <w:tcPr>
            <w:tcW w:type="dxa" w:w="4320"/>
            <w:shd w:fill="D9E2F3"/>
          </w:tcPr>
          <w:p>
            <w:r>
              <w:rPr>
                <w:sz w:val="20"/>
              </w:rPr>
              <w:t>Ja</w:t>
            </w:r>
          </w:p>
        </w:tc>
      </w:tr>
      <w:tr>
        <w:tc>
          <w:tcPr>
            <w:tcW w:type="dxa" w:w="4320"/>
          </w:tcPr>
          <w:p>
            <w:r>
              <w:rPr>
                <w:sz w:val="20"/>
              </w:rPr>
              <w:t>Hulpdiensten op de hoogte van geplande herstart</w:t>
            </w:r>
          </w:p>
        </w:tc>
        <w:tc>
          <w:tcPr>
            <w:tcW w:type="dxa" w:w="4320"/>
          </w:tcPr>
          <w:p>
            <w:r>
              <w:rPr>
                <w:sz w:val="20"/>
              </w:rPr>
              <w:t>Ja</w:t>
            </w:r>
          </w:p>
        </w:tc>
      </w:tr>
      <w:tr>
        <w:tc>
          <w:tcPr>
            <w:tcW w:type="dxa" w:w="4320"/>
            <w:shd w:fill="D9E2F3"/>
          </w:tcPr>
          <w:p>
            <w:r>
              <w:rPr>
                <w:sz w:val="20"/>
              </w:rPr>
              <w:t>Milieuschade hersteld of beheersmaatregelen actief</w:t>
            </w:r>
          </w:p>
        </w:tc>
        <w:tc>
          <w:tcPr>
            <w:tcW w:type="dxa" w:w="4320"/>
            <w:shd w:fill="D9E2F3"/>
          </w:tcPr>
          <w:p>
            <w:r>
              <w:rPr>
                <w:sz w:val="20"/>
              </w:rPr>
              <w:t>Ja</w:t>
            </w:r>
          </w:p>
        </w:tc>
      </w:tr>
    </w:tbl>
    <w:p>
      <w:pPr>
        <w:pStyle w:val="Heading1"/>
      </w:pPr>
      <w:r>
        <w:rPr>
          <w:rFonts w:ascii="Calibri" w:hAnsi="Calibri"/>
          <w:color w:val="003366"/>
        </w:rPr>
        <w:t>7. Bronnenlijst</w:t>
      </w:r>
    </w:p>
    <w:p>
      <w:pPr>
        <w:pStyle w:val="ListBullet"/>
      </w:pPr>
      <w:r>
        <w:t>[1] BRZO 2015 — Besluit risico's zware ongevallen 2015, Artikel 10 en 11</w:t>
      </w:r>
    </w:p>
    <w:p>
      <w:pPr>
        <w:pStyle w:val="ListBullet"/>
      </w:pPr>
      <w:r>
        <w:t>[2] VBS Element 3 Document #08 — Pre-Startup Safety Review (PSSR)</w:t>
      </w:r>
    </w:p>
    <w:p>
      <w:pPr>
        <w:pStyle w:val="ListBullet"/>
      </w:pPr>
      <w:r>
        <w:t>[3] VBS Element 3 Document #05 — Onderhoudsmanagement</w:t>
      </w:r>
    </w:p>
    <w:p>
      <w:pPr>
        <w:pStyle w:val="ListBullet"/>
      </w:pPr>
      <w:r>
        <w:t>[4] PE-295-01 — Management of Change (MoC) Procedure</w:t>
      </w:r>
    </w:p>
    <w:p>
      <w:pPr>
        <w:pStyle w:val="ListBullet"/>
      </w:pPr>
      <w:r>
        <w:t>[5] VBS Element 2 Document #08 — BowTie Procesveiligheid</w:t>
      </w:r>
    </w:p>
    <w:p>
      <w:pPr>
        <w:pStyle w:val="ListBullet"/>
      </w:pPr>
      <w:r>
        <w:t>[6] Meta-Dossier VBS Element 4, Versie 1.0, 29 april 2026</w:t>
      </w:r>
    </w:p>
    <w:p>
      <w:pPr>
        <w:pStyle w:val="Heading1"/>
      </w:pPr>
      <w:r>
        <w:rPr>
          <w:rFonts w:ascii="Calibri" w:hAnsi="Calibri"/>
          <w:color w:val="003366"/>
        </w:rPr>
        <w:t>8. TierVerify Log</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Pr>
                <w:b/>
                <w:color w:val="FFFFFF"/>
                <w:sz w:val="20"/>
              </w:rPr>
              <w:t>Check</w:t>
            </w:r>
          </w:p>
        </w:tc>
        <w:tc>
          <w:tcPr>
            <w:tcW w:type="dxa" w:w="2880"/>
            <w:shd w:fill="003366"/>
          </w:tcPr>
          <w:p>
            <w:pPr>
              <w:jc w:val="center"/>
            </w:pPr>
            <w:r>
              <w:rPr>
                <w:b/>
                <w:color w:val="FFFFFF"/>
                <w:sz w:val="20"/>
              </w:rPr>
              <w:t>Status</w:t>
            </w:r>
          </w:p>
        </w:tc>
        <w:tc>
          <w:tcPr>
            <w:tcW w:type="dxa" w:w="2880"/>
            <w:shd w:fill="003366"/>
          </w:tcPr>
          <w:p>
            <w:pPr>
              <w:jc w:val="center"/>
            </w:pPr>
            <w:r>
              <w:rPr>
                <w:b/>
                <w:color w:val="FFFFFF"/>
                <w:sz w:val="20"/>
              </w:rPr>
              <w:t>Opmerking</w:t>
            </w:r>
          </w:p>
        </w:tc>
      </w:tr>
      <w:tr>
        <w:tc>
          <w:tcPr>
            <w:tcW w:type="dxa" w:w="2880"/>
          </w:tcPr>
          <w:p>
            <w:r>
              <w:rPr>
                <w:sz w:val="20"/>
              </w:rPr>
              <w:t>Documentheader aanwezig (§2.1)</w:t>
            </w:r>
          </w:p>
        </w:tc>
        <w:tc>
          <w:tcPr>
            <w:tcW w:type="dxa" w:w="2880"/>
          </w:tcPr>
          <w:p>
            <w:r>
              <w:rPr>
                <w:sz w:val="20"/>
              </w:rPr>
              <w:t>✅ Pass</w:t>
            </w:r>
          </w:p>
        </w:tc>
        <w:tc>
          <w:tcPr>
            <w:tcW w:type="dxa" w:w="2880"/>
          </w:tcPr>
          <w:p>
            <w:r>
              <w:rPr>
                <w:sz w:val="20"/>
              </w:rPr>
              <w:t>Project, Type, Auteur, Versie, Datum, Status opgenomen</w:t>
            </w:r>
          </w:p>
        </w:tc>
      </w:tr>
      <w:tr>
        <w:tc>
          <w:tcPr>
            <w:tcW w:type="dxa" w:w="2880"/>
            <w:shd w:fill="D9E2F3"/>
          </w:tcPr>
          <w:p>
            <w:r>
              <w:rPr>
                <w:sz w:val="20"/>
              </w:rPr>
              <w:t>Bronverwijzingen (§1.8)</w:t>
            </w:r>
          </w:p>
        </w:tc>
        <w:tc>
          <w:tcPr>
            <w:tcW w:type="dxa" w:w="2880"/>
            <w:shd w:fill="D9E2F3"/>
          </w:tcPr>
          <w:p>
            <w:r>
              <w:rPr>
                <w:sz w:val="20"/>
              </w:rPr>
              <w:t>✅ Pass</w:t>
            </w:r>
          </w:p>
        </w:tc>
        <w:tc>
          <w:tcPr>
            <w:tcW w:type="dxa" w:w="2880"/>
            <w:shd w:fill="D9E2F3"/>
          </w:tcPr>
          <w:p>
            <w:r>
              <w:rPr>
                <w:sz w:val="20"/>
              </w:rPr>
              <w:t>[1] t/m [6] notatie gebruikt; bronnenlijst aanwezig</w:t>
            </w:r>
          </w:p>
        </w:tc>
      </w:tr>
      <w:tr>
        <w:tc>
          <w:tcPr>
            <w:tcW w:type="dxa" w:w="2880"/>
          </w:tcPr>
          <w:p>
            <w:r>
              <w:rPr>
                <w:sz w:val="20"/>
              </w:rPr>
              <w:t>Logo + branding (§8)</w:t>
            </w:r>
          </w:p>
        </w:tc>
        <w:tc>
          <w:tcPr>
            <w:tcW w:type="dxa" w:w="2880"/>
          </w:tcPr>
          <w:p>
            <w:r>
              <w:rPr>
                <w:sz w:val="20"/>
              </w:rPr>
              <w:t>✅ Pass</w:t>
            </w:r>
          </w:p>
        </w:tc>
        <w:tc>
          <w:tcPr>
            <w:tcW w:type="dxa" w:w="2880"/>
          </w:tcPr>
          <w:p>
            <w:r>
              <w:rPr>
                <w:sz w:val="20"/>
              </w:rPr>
              <w:t>JvG-logo 2.0×1.8 cm, footer op alle secties</w:t>
            </w:r>
          </w:p>
        </w:tc>
      </w:tr>
      <w:tr>
        <w:tc>
          <w:tcPr>
            <w:tcW w:type="dxa" w:w="2880"/>
            <w:shd w:fill="D9E2F3"/>
          </w:tcPr>
          <w:p>
            <w:r>
              <w:rPr>
                <w:sz w:val="20"/>
              </w:rPr>
              <w:t>Kleurenpalet (§8)</w:t>
            </w:r>
          </w:p>
        </w:tc>
        <w:tc>
          <w:tcPr>
            <w:tcW w:type="dxa" w:w="2880"/>
            <w:shd w:fill="D9E2F3"/>
          </w:tcPr>
          <w:p>
            <w:r>
              <w:rPr>
                <w:sz w:val="20"/>
              </w:rPr>
              <w:t>✅ Pass</w:t>
            </w:r>
          </w:p>
        </w:tc>
        <w:tc>
          <w:tcPr>
            <w:tcW w:type="dxa" w:w="2880"/>
            <w:shd w:fill="D9E2F3"/>
          </w:tcPr>
          <w:p>
            <w:r>
              <w:rPr>
                <w:sz w:val="20"/>
              </w:rPr>
              <w:t>Primair #003366, tekst #1F2937, achtergrond #FFFFFF</w:t>
            </w:r>
          </w:p>
        </w:tc>
      </w:tr>
      <w:tr>
        <w:tc>
          <w:tcPr>
            <w:tcW w:type="dxa" w:w="2880"/>
          </w:tcPr>
          <w:p>
            <w:r>
              <w:rPr>
                <w:sz w:val="20"/>
              </w:rPr>
              <w:t>Lettertype (§8)</w:t>
            </w:r>
          </w:p>
        </w:tc>
        <w:tc>
          <w:tcPr>
            <w:tcW w:type="dxa" w:w="2880"/>
          </w:tcPr>
          <w:p>
            <w:r>
              <w:rPr>
                <w:sz w:val="20"/>
              </w:rPr>
              <w:t>✅ Pass</w:t>
            </w:r>
          </w:p>
        </w:tc>
        <w:tc>
          <w:tcPr>
            <w:tcW w:type="dxa" w:w="2880"/>
          </w:tcPr>
          <w:p>
            <w:r>
              <w:rPr>
                <w:sz w:val="20"/>
              </w:rPr>
              <w:t>Calibri 11pt body, 14pt bold koppen</w:t>
            </w:r>
          </w:p>
        </w:tc>
      </w:tr>
      <w:tr>
        <w:tc>
          <w:tcPr>
            <w:tcW w:type="dxa" w:w="2880"/>
            <w:shd w:fill="D9E2F3"/>
          </w:tcPr>
          <w:p>
            <w:r>
              <w:rPr>
                <w:sz w:val="20"/>
              </w:rPr>
              <w:t>Output format</w:t>
            </w:r>
          </w:p>
        </w:tc>
        <w:tc>
          <w:tcPr>
            <w:tcW w:type="dxa" w:w="2880"/>
            <w:shd w:fill="D9E2F3"/>
          </w:tcPr>
          <w:p>
            <w:r>
              <w:rPr>
                <w:sz w:val="20"/>
              </w:rPr>
              <w:t>✅ Pass</w:t>
            </w:r>
          </w:p>
        </w:tc>
        <w:tc>
          <w:tcPr>
            <w:tcW w:type="dxa" w:w="2880"/>
            <w:shd w:fill="D9E2F3"/>
          </w:tcPr>
          <w:p>
            <w:r>
              <w:rPr>
                <w:sz w:val="20"/>
              </w:rPr>
              <w:t>.docx (geen .md als einddeliverable)</w:t>
            </w:r>
          </w:p>
        </w:tc>
      </w:tr>
      <w:tr>
        <w:tc>
          <w:tcPr>
            <w:tcW w:type="dxa" w:w="2880"/>
          </w:tcPr>
          <w:p>
            <w:r>
              <w:rPr>
                <w:sz w:val="20"/>
              </w:rPr>
              <w:t>Feitelijke correctheid</w:t>
            </w:r>
          </w:p>
        </w:tc>
        <w:tc>
          <w:tcPr>
            <w:tcW w:type="dxa" w:w="2880"/>
          </w:tcPr>
          <w:p>
            <w:r>
              <w:rPr>
                <w:sz w:val="20"/>
              </w:rPr>
              <w:t>✅ Pass</w:t>
            </w:r>
          </w:p>
        </w:tc>
        <w:tc>
          <w:tcPr>
            <w:tcW w:type="dxa" w:w="2880"/>
          </w:tcPr>
          <w:p>
            <w:r>
              <w:rPr>
                <w:sz w:val="20"/>
              </w:rPr>
              <w:t>Alle claims terug te voeren op meta-dossier v1.0</w:t>
            </w:r>
          </w:p>
        </w:tc>
      </w:tr>
      <w:tr>
        <w:tc>
          <w:tcPr>
            <w:tcW w:type="dxa" w:w="2880"/>
            <w:shd w:fill="D9E2F3"/>
          </w:tcPr>
          <w:p>
            <w:r>
              <w:rPr>
                <w:sz w:val="20"/>
              </w:rPr>
              <w:t>Scope afbakening</w:t>
            </w:r>
          </w:p>
        </w:tc>
        <w:tc>
          <w:tcPr>
            <w:tcW w:type="dxa" w:w="2880"/>
            <w:shd w:fill="D9E2F3"/>
          </w:tcPr>
          <w:p>
            <w:r>
              <w:rPr>
                <w:sz w:val="20"/>
              </w:rPr>
              <w:t>✅ Pass</w:t>
            </w:r>
          </w:p>
        </w:tc>
        <w:tc>
          <w:tcPr>
            <w:tcW w:type="dxa" w:w="2880"/>
            <w:shd w:fill="D9E2F3"/>
          </w:tcPr>
          <w:p>
            <w:r>
              <w:rPr>
                <w:sz w:val="20"/>
              </w:rPr>
              <w:t>Alle installaties + alle incidentniveaus gedekt</w:t>
            </w:r>
          </w:p>
        </w:tc>
      </w:tr>
      <w:tr>
        <w:tc>
          <w:tcPr>
            <w:tcW w:type="dxa" w:w="2880"/>
          </w:tcPr>
          <w:p>
            <w:r>
              <w:rPr>
                <w:sz w:val="20"/>
              </w:rPr>
              <w:t>Koppeling andere documenten</w:t>
            </w:r>
          </w:p>
        </w:tc>
        <w:tc>
          <w:tcPr>
            <w:tcW w:type="dxa" w:w="2880"/>
          </w:tcPr>
          <w:p>
            <w:r>
              <w:rPr>
                <w:sz w:val="20"/>
              </w:rPr>
              <w:t>✅ Pass</w:t>
            </w:r>
          </w:p>
        </w:tc>
        <w:tc>
          <w:tcPr>
            <w:tcW w:type="dxa" w:w="2880"/>
          </w:tcPr>
          <w:p>
            <w:r>
              <w:rPr>
                <w:sz w:val="20"/>
              </w:rPr>
              <w:t>PSSR [2], Onderhoud [3], MoC [4], BowTie [5]</w:t>
            </w:r>
          </w:p>
        </w:tc>
      </w:tr>
    </w:tbl>
    <w:p/>
    <w:p>
      <w:pPr>
        <w:jc w:val="center"/>
      </w:pPr>
      <w:r>
        <w:rPr>
          <w:i/>
          <w:color w:val="808080"/>
        </w:rPr>
        <w:t>— Einde Document —</w:t>
      </w:r>
    </w:p>
    <w:sectPr w:rsidR="00FC693F" w:rsidRPr="0006063C" w:rsidSect="00034616">
      <w:footerReference w:type="default" r:id="rId9"/>
      <w:headerReference w:type="default" r:id="rId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080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