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6"/>
        </w:rPr>
        <w:t>Crisiscommunicatie Plan</w:t>
      </w:r>
    </w:p>
    <w:p>
      <w:pPr>
        <w:jc w:val="center"/>
      </w:pPr>
      <w:r>
        <w:rPr>
          <w:rFonts w:ascii="Calibri" w:hAnsi="Calibri"/>
          <w:color w:val="1F2937"/>
          <w:sz w:val="32"/>
        </w:rPr>
        <w:t>VBS Element 4 — Planning voor Noodsituaties</w:t>
        <w:br/>
        <w:t>Document #5</w:t>
      </w:r>
    </w:p>
    <w:p>
      <w:pPr>
        <w:jc w:val="center"/>
      </w:pPr>
      <w:r>
        <w:rPr>
          <w:rFonts w:ascii="Calibri" w:hAnsi="Calibri"/>
          <w:color w:val="1F2937"/>
          <w:sz w:val="26"/>
        </w:rPr>
        <w:t>Phoenix Metals B.V.</w:t>
        <w:br/>
        <w:t>Industrieterrein Velserbeek, IJmuiden</w:t>
      </w:r>
    </w:p>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Project</w:t>
            </w:r>
          </w:p>
        </w:tc>
        <w:tc>
          <w:tcPr>
            <w:tcW w:type="dxa" w:w="4535"/>
          </w:tcPr>
          <w:p>
            <w:r/>
            <w:r>
              <w:rPr>
                <w:rFonts w:ascii="Calibri" w:hAnsi="Calibri"/>
                <w:color w:val="1F2937"/>
                <w:sz w:val="20"/>
              </w:rPr>
              <w:t>2026-PM-VBS-Element4</w:t>
            </w:r>
          </w:p>
        </w:tc>
      </w:tr>
      <w:tr>
        <w:tc>
          <w:tcPr>
            <w:tcW w:type="dxa" w:w="2268"/>
            <w:shd w:fill="003366"/>
          </w:tcPr>
          <w:p>
            <w:r/>
            <w:r>
              <w:rPr>
                <w:rFonts w:ascii="Calibri" w:hAnsi="Calibri"/>
                <w:b/>
                <w:color w:val="FFFFFF"/>
                <w:sz w:val="20"/>
              </w:rPr>
              <w:t>Type</w:t>
            </w:r>
          </w:p>
        </w:tc>
        <w:tc>
          <w:tcPr>
            <w:tcW w:type="dxa" w:w="4535"/>
          </w:tcPr>
          <w:p>
            <w:r/>
            <w:r>
              <w:rPr>
                <w:rFonts w:ascii="Calibri" w:hAnsi="Calibri"/>
                <w:color w:val="1F2937"/>
                <w:sz w:val="20"/>
              </w:rPr>
              <w:t>Plan</w:t>
            </w:r>
          </w:p>
        </w:tc>
      </w:tr>
      <w:tr>
        <w:tc>
          <w:tcPr>
            <w:tcW w:type="dxa" w:w="2268"/>
            <w:shd w:fill="003366"/>
          </w:tcPr>
          <w:p>
            <w:r/>
            <w:r>
              <w:rPr>
                <w:rFonts w:ascii="Calibri" w:hAnsi="Calibri"/>
                <w:b/>
                <w:color w:val="FFFFFF"/>
                <w:sz w:val="20"/>
              </w:rPr>
              <w:t>Auteur</w:t>
            </w:r>
          </w:p>
        </w:tc>
        <w:tc>
          <w:tcPr>
            <w:tcW w:type="dxa" w:w="4535"/>
          </w:tcPr>
          <w:p>
            <w:r/>
            <w:r>
              <w:rPr>
                <w:rFonts w:ascii="Calibri" w:hAnsi="Calibri"/>
                <w:color w:val="1F2937"/>
                <w:sz w:val="20"/>
              </w:rPr>
              <w:t>HQ_04 Technical Writer</w:t>
            </w:r>
          </w:p>
        </w:tc>
      </w:tr>
      <w:tr>
        <w:tc>
          <w:tcPr>
            <w:tcW w:type="dxa" w:w="2268"/>
            <w:shd w:fill="003366"/>
          </w:tcPr>
          <w:p>
            <w:r/>
            <w:r>
              <w:rPr>
                <w:rFonts w:ascii="Calibri" w:hAnsi="Calibri"/>
                <w:b/>
                <w:color w:val="FFFFFF"/>
                <w:sz w:val="20"/>
              </w:rPr>
              <w:t>Versie</w:t>
            </w:r>
          </w:p>
        </w:tc>
        <w:tc>
          <w:tcPr>
            <w:tcW w:type="dxa" w:w="4535"/>
          </w:tcPr>
          <w:p>
            <w:r/>
            <w:r>
              <w:rPr>
                <w:rFonts w:ascii="Calibri" w:hAnsi="Calibri"/>
                <w:color w:val="1F2937"/>
                <w:sz w:val="20"/>
              </w:rPr>
              <w:t>1.0</w:t>
            </w:r>
          </w:p>
        </w:tc>
      </w:tr>
      <w:tr>
        <w:tc>
          <w:tcPr>
            <w:tcW w:type="dxa" w:w="2268"/>
            <w:shd w:fill="003366"/>
          </w:tcPr>
          <w:p>
            <w:r/>
            <w:r>
              <w:rPr>
                <w:rFonts w:ascii="Calibri" w:hAnsi="Calibri"/>
                <w:b/>
                <w:color w:val="FFFFFF"/>
                <w:sz w:val="20"/>
              </w:rPr>
              <w:t>Datum</w:t>
            </w:r>
          </w:p>
        </w:tc>
        <w:tc>
          <w:tcPr>
            <w:tcW w:type="dxa" w:w="4535"/>
          </w:tcPr>
          <w:p>
            <w:r/>
            <w:r>
              <w:rPr>
                <w:rFonts w:ascii="Calibri" w:hAnsi="Calibri"/>
                <w:color w:val="1F2937"/>
                <w:sz w:val="20"/>
              </w:rPr>
              <w:t>29 april 2026</w:t>
            </w:r>
          </w:p>
        </w:tc>
      </w:tr>
      <w:tr>
        <w:tc>
          <w:tcPr>
            <w:tcW w:type="dxa" w:w="2268"/>
            <w:shd w:fill="003366"/>
          </w:tcPr>
          <w:p>
            <w:r/>
            <w:r>
              <w:rPr>
                <w:rFonts w:ascii="Calibri" w:hAnsi="Calibri"/>
                <w:b/>
                <w:color w:val="FFFFFF"/>
                <w:sz w:val="20"/>
              </w:rPr>
              <w:t>Status</w:t>
            </w:r>
          </w:p>
        </w:tc>
        <w:tc>
          <w:tcPr>
            <w:tcW w:type="dxa" w:w="4535"/>
          </w:tcPr>
          <w:p>
            <w:r/>
            <w:r>
              <w:rPr>
                <w:rFonts w:ascii="Calibri" w:hAnsi="Calibri"/>
                <w:color w:val="1F2937"/>
                <w:sz w:val="20"/>
              </w:rPr>
              <w:t>Final</w:t>
            </w:r>
          </w:p>
        </w:tc>
      </w:tr>
      <w:tr>
        <w:tc>
          <w:tcPr>
            <w:tcW w:type="dxa" w:w="2268"/>
            <w:shd w:fill="003366"/>
          </w:tcPr>
          <w:p>
            <w:r/>
            <w:r>
              <w:rPr>
                <w:rFonts w:ascii="Calibri" w:hAnsi="Calibri"/>
                <w:b/>
                <w:color w:val="FFFFFF"/>
                <w:sz w:val="20"/>
              </w:rPr>
              <w:t>Classificatie</w:t>
            </w:r>
          </w:p>
        </w:tc>
        <w:tc>
          <w:tcPr>
            <w:tcW w:type="dxa" w:w="4535"/>
          </w:tcPr>
          <w:p>
            <w:r/>
            <w:r>
              <w:rPr>
                <w:rFonts w:ascii="Calibri" w:hAnsi="Calibri"/>
                <w:color w:val="1F2937"/>
                <w:sz w:val="20"/>
              </w:rPr>
              <w:t>Vertrouwelijk — Intern</w:t>
            </w:r>
          </w:p>
        </w:tc>
      </w:tr>
    </w:tbl>
    <w:p>
      <w:r>
        <w:br w:type="page"/>
      </w:r>
    </w:p>
    <w:p>
      <w:pPr>
        <w:pStyle w:val="Heading1"/>
      </w:pPr>
      <w:r>
        <w:rPr>
          <w:rFonts w:ascii="Calibri" w:hAnsi="Calibri"/>
          <w:color w:val="003366"/>
        </w:rPr>
        <w:t>Documentbeheersing</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134"/>
            <w:shd w:fill="003366"/>
          </w:tcPr>
          <w:p>
            <w:pPr>
              <w:jc w:val="left"/>
            </w:pPr>
            <w:r/>
            <w:r>
              <w:rPr>
                <w:rFonts w:ascii="Calibri" w:hAnsi="Calibri"/>
                <w:b/>
                <w:color w:val="FFFFFF"/>
                <w:sz w:val="20"/>
              </w:rPr>
              <w:t>Versie</w:t>
            </w:r>
          </w:p>
        </w:tc>
        <w:tc>
          <w:tcPr>
            <w:tcW w:type="dxa" w:w="1701"/>
            <w:shd w:fill="003366"/>
          </w:tcPr>
          <w:p>
            <w:pPr>
              <w:jc w:val="left"/>
            </w:pPr>
            <w:r/>
            <w:r>
              <w:rPr>
                <w:rFonts w:ascii="Calibri" w:hAnsi="Calibri"/>
                <w:b/>
                <w:color w:val="FFFFFF"/>
                <w:sz w:val="20"/>
              </w:rPr>
              <w:t>Datum</w:t>
            </w:r>
          </w:p>
        </w:tc>
        <w:tc>
          <w:tcPr>
            <w:tcW w:type="dxa" w:w="1701"/>
            <w:shd w:fill="003366"/>
          </w:tcPr>
          <w:p>
            <w:pPr>
              <w:jc w:val="left"/>
            </w:pPr>
            <w:r/>
            <w:r>
              <w:rPr>
                <w:rFonts w:ascii="Calibri" w:hAnsi="Calibri"/>
                <w:b/>
                <w:color w:val="FFFFFF"/>
                <w:sz w:val="20"/>
              </w:rPr>
              <w:t>Auteur</w:t>
            </w:r>
          </w:p>
        </w:tc>
        <w:tc>
          <w:tcPr>
            <w:tcW w:type="dxa" w:w="2835"/>
            <w:shd w:fill="003366"/>
          </w:tcPr>
          <w:p>
            <w:pPr>
              <w:jc w:val="left"/>
            </w:pPr>
            <w:r/>
            <w:r>
              <w:rPr>
                <w:rFonts w:ascii="Calibri" w:hAnsi="Calibri"/>
                <w:b/>
                <w:color w:val="FFFFFF"/>
                <w:sz w:val="20"/>
              </w:rPr>
              <w:t>Wijziging</w:t>
            </w:r>
          </w:p>
        </w:tc>
        <w:tc>
          <w:tcPr>
            <w:tcW w:type="dxa" w:w="1701"/>
            <w:shd w:fill="003366"/>
          </w:tcPr>
          <w:p>
            <w:pPr>
              <w:jc w:val="left"/>
            </w:pPr>
            <w:r/>
            <w:r>
              <w:rPr>
                <w:rFonts w:ascii="Calibri" w:hAnsi="Calibri"/>
                <w:b/>
                <w:color w:val="FFFFFF"/>
                <w:sz w:val="20"/>
              </w:rPr>
              <w:t>Goedkeuring</w:t>
            </w:r>
          </w:p>
        </w:tc>
      </w:tr>
      <w:tr>
        <w:tc>
          <w:tcPr>
            <w:tcW w:type="dxa" w:w="1134"/>
          </w:tcPr>
          <w:p>
            <w:r/>
            <w:r>
              <w:rPr>
                <w:rFonts w:ascii="Calibri" w:hAnsi="Calibri"/>
                <w:color w:val="1F2937"/>
                <w:sz w:val="20"/>
              </w:rPr>
              <w:t>0.1</w:t>
            </w:r>
          </w:p>
        </w:tc>
        <w:tc>
          <w:tcPr>
            <w:tcW w:type="dxa" w:w="1701"/>
          </w:tcPr>
          <w:p>
            <w:r/>
            <w:r>
              <w:rPr>
                <w:rFonts w:ascii="Calibri" w:hAnsi="Calibri"/>
                <w:color w:val="1F2937"/>
                <w:sz w:val="20"/>
              </w:rPr>
              <w:t>2026-04-29</w:t>
            </w:r>
          </w:p>
        </w:tc>
        <w:tc>
          <w:tcPr>
            <w:tcW w:type="dxa" w:w="1701"/>
          </w:tcPr>
          <w:p>
            <w:r/>
            <w:r>
              <w:rPr>
                <w:rFonts w:ascii="Calibri" w:hAnsi="Calibri"/>
                <w:color w:val="1F2937"/>
                <w:sz w:val="20"/>
              </w:rPr>
              <w:t>HQ_04</w:t>
            </w:r>
          </w:p>
        </w:tc>
        <w:tc>
          <w:tcPr>
            <w:tcW w:type="dxa" w:w="2835"/>
          </w:tcPr>
          <w:p>
            <w:r/>
            <w:r>
              <w:rPr>
                <w:rFonts w:ascii="Calibri" w:hAnsi="Calibri"/>
                <w:color w:val="1F2937"/>
                <w:sz w:val="20"/>
              </w:rPr>
              <w:t>Concept opgesteld</w:t>
            </w:r>
          </w:p>
        </w:tc>
        <w:tc>
          <w:tcPr>
            <w:tcW w:type="dxa" w:w="1701"/>
          </w:tcPr>
          <w:p>
            <w:r/>
            <w:r>
              <w:rPr>
                <w:rFonts w:ascii="Calibri" w:hAnsi="Calibri"/>
                <w:color w:val="1F2937"/>
                <w:sz w:val="20"/>
              </w:rPr>
              <w:t>—</w:t>
            </w:r>
          </w:p>
        </w:tc>
      </w:tr>
      <w:tr>
        <w:tc>
          <w:tcPr>
            <w:tcW w:type="dxa" w:w="1134"/>
            <w:shd w:fill="F8F9FA"/>
          </w:tcPr>
          <w:p>
            <w:r/>
            <w:r>
              <w:rPr>
                <w:rFonts w:ascii="Calibri" w:hAnsi="Calibri"/>
                <w:color w:val="1F2937"/>
                <w:sz w:val="20"/>
              </w:rPr>
              <w:t>1.0</w:t>
            </w:r>
          </w:p>
        </w:tc>
        <w:tc>
          <w:tcPr>
            <w:tcW w:type="dxa" w:w="1701"/>
            <w:shd w:fill="F8F9FA"/>
          </w:tcPr>
          <w:p>
            <w:r/>
            <w:r>
              <w:rPr>
                <w:rFonts w:ascii="Calibri" w:hAnsi="Calibri"/>
                <w:color w:val="1F2937"/>
                <w:sz w:val="20"/>
              </w:rPr>
              <w:t>2026-04-29</w:t>
            </w:r>
          </w:p>
        </w:tc>
        <w:tc>
          <w:tcPr>
            <w:tcW w:type="dxa" w:w="1701"/>
            <w:shd w:fill="F8F9FA"/>
          </w:tcPr>
          <w:p>
            <w:r/>
            <w:r>
              <w:rPr>
                <w:rFonts w:ascii="Calibri" w:hAnsi="Calibri"/>
                <w:color w:val="1F2937"/>
                <w:sz w:val="20"/>
              </w:rPr>
              <w:t>HQ_04</w:t>
            </w:r>
          </w:p>
        </w:tc>
        <w:tc>
          <w:tcPr>
            <w:tcW w:type="dxa" w:w="2835"/>
            <w:shd w:fill="F8F9FA"/>
          </w:tcPr>
          <w:p>
            <w:r/>
            <w:r>
              <w:rPr>
                <w:rFonts w:ascii="Calibri" w:hAnsi="Calibri"/>
                <w:color w:val="1F2937"/>
                <w:sz w:val="20"/>
              </w:rPr>
              <w:t>Eindversie na review</w:t>
            </w:r>
          </w:p>
        </w:tc>
        <w:tc>
          <w:tcPr>
            <w:tcW w:type="dxa" w:w="1701"/>
            <w:shd w:fill="F8F9FA"/>
          </w:tcPr>
          <w:p>
            <w:r/>
            <w:r>
              <w:rPr>
                <w:rFonts w:ascii="Calibri" w:hAnsi="Calibri"/>
                <w:color w:val="1F2937"/>
                <w:sz w:val="20"/>
              </w:rPr>
              <w:t>Kas (Director)</w:t>
            </w:r>
          </w:p>
        </w:tc>
      </w:tr>
    </w:tbl>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Verspreiding</w:t>
            </w:r>
          </w:p>
        </w:tc>
        <w:tc>
          <w:tcPr>
            <w:tcW w:type="dxa" w:w="2835"/>
            <w:shd w:fill="003366"/>
          </w:tcPr>
          <w:p>
            <w:pPr>
              <w:jc w:val="left"/>
            </w:pPr>
            <w:r/>
            <w:r>
              <w:rPr>
                <w:rFonts w:ascii="Calibri" w:hAnsi="Calibri"/>
                <w:b/>
                <w:color w:val="FFFFFF"/>
                <w:sz w:val="20"/>
              </w:rPr>
              <w:t>Functie</w:t>
            </w:r>
          </w:p>
        </w:tc>
        <w:tc>
          <w:tcPr>
            <w:tcW w:type="dxa" w:w="1134"/>
            <w:shd w:fill="003366"/>
          </w:tcPr>
          <w:p>
            <w:pPr>
              <w:jc w:val="left"/>
            </w:pPr>
            <w:r/>
            <w:r>
              <w:rPr>
                <w:rFonts w:ascii="Calibri" w:hAnsi="Calibri"/>
                <w:b/>
                <w:color w:val="FFFFFF"/>
                <w:sz w:val="20"/>
              </w:rPr>
              <w:t>Exemplaar</w:t>
            </w:r>
          </w:p>
        </w:tc>
      </w:tr>
      <w:tr>
        <w:tc>
          <w:tcPr>
            <w:tcW w:type="dxa" w:w="2268"/>
          </w:tcPr>
          <w:p>
            <w:r/>
            <w:r>
              <w:rPr>
                <w:rFonts w:ascii="Calibri" w:hAnsi="Calibri"/>
                <w:color w:val="1F2937"/>
                <w:sz w:val="20"/>
              </w:rPr>
              <w:t>CEO/Director</w:t>
            </w:r>
          </w:p>
        </w:tc>
        <w:tc>
          <w:tcPr>
            <w:tcW w:type="dxa" w:w="2835"/>
          </w:tcPr>
          <w:p>
            <w:r/>
            <w:r>
              <w:rPr>
                <w:rFonts w:ascii="Calibri" w:hAnsi="Calibri"/>
                <w:color w:val="1F2937"/>
                <w:sz w:val="20"/>
              </w:rPr>
              <w:t>Woordvoerder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Operations Manager</w:t>
            </w:r>
          </w:p>
        </w:tc>
        <w:tc>
          <w:tcPr>
            <w:tcW w:type="dxa" w:w="2835"/>
            <w:shd w:fill="F8F9FA"/>
          </w:tcPr>
          <w:p>
            <w:r/>
            <w:r>
              <w:rPr>
                <w:rFonts w:ascii="Calibri" w:hAnsi="Calibri"/>
                <w:color w:val="1F2937"/>
                <w:sz w:val="20"/>
              </w:rPr>
              <w:t>Crisisleider</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Communication Manager</w:t>
            </w:r>
          </w:p>
        </w:tc>
        <w:tc>
          <w:tcPr>
            <w:tcW w:type="dxa" w:w="2835"/>
          </w:tcPr>
          <w:p>
            <w:r/>
            <w:r>
              <w:rPr>
                <w:rFonts w:ascii="Calibri" w:hAnsi="Calibri"/>
                <w:color w:val="1F2937"/>
                <w:sz w:val="20"/>
              </w:rPr>
              <w:t>Comm. Coördinator</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HSEQ Manager</w:t>
            </w:r>
          </w:p>
        </w:tc>
        <w:tc>
          <w:tcPr>
            <w:tcW w:type="dxa" w:w="2835"/>
            <w:shd w:fill="F8F9FA"/>
          </w:tcPr>
          <w:p>
            <w:r/>
            <w:r>
              <w:rPr>
                <w:rFonts w:ascii="Calibri" w:hAnsi="Calibri"/>
                <w:color w:val="1F2937"/>
                <w:sz w:val="20"/>
              </w:rPr>
              <w:t>Autoriteitscontact</w:t>
            </w:r>
          </w:p>
        </w:tc>
        <w:tc>
          <w:tcPr>
            <w:tcW w:type="dxa" w:w="1134"/>
            <w:shd w:fill="F8F9FA"/>
          </w:tcPr>
          <w:p>
            <w:r/>
            <w:r>
              <w:rPr>
                <w:rFonts w:ascii="Calibri" w:hAnsi="Calibri"/>
                <w:color w:val="1F2937"/>
                <w:sz w:val="20"/>
              </w:rPr>
              <w:t>1</w:t>
            </w:r>
          </w:p>
        </w:tc>
      </w:tr>
      <w:tr>
        <w:tc>
          <w:tcPr>
            <w:tcW w:type="dxa" w:w="2268"/>
          </w:tcPr>
          <w:p>
            <w:r/>
            <w:r>
              <w:rPr>
                <w:rFonts w:ascii="Calibri" w:hAnsi="Calibri"/>
                <w:color w:val="1F2937"/>
                <w:sz w:val="20"/>
              </w:rPr>
              <w:t>HR Manager</w:t>
            </w:r>
          </w:p>
        </w:tc>
        <w:tc>
          <w:tcPr>
            <w:tcW w:type="dxa" w:w="2835"/>
          </w:tcPr>
          <w:p>
            <w:r/>
            <w:r>
              <w:rPr>
                <w:rFonts w:ascii="Calibri" w:hAnsi="Calibri"/>
                <w:color w:val="1F2937"/>
                <w:sz w:val="20"/>
              </w:rPr>
              <w:t>Familiecontact</w:t>
            </w:r>
          </w:p>
        </w:tc>
        <w:tc>
          <w:tcPr>
            <w:tcW w:type="dxa" w:w="1134"/>
          </w:tcPr>
          <w:p>
            <w:r/>
            <w:r>
              <w:rPr>
                <w:rFonts w:ascii="Calibri" w:hAnsi="Calibri"/>
                <w:color w:val="1F2937"/>
                <w:sz w:val="20"/>
              </w:rPr>
              <w:t>1</w:t>
            </w:r>
          </w:p>
        </w:tc>
      </w:tr>
      <w:tr>
        <w:tc>
          <w:tcPr>
            <w:tcW w:type="dxa" w:w="2268"/>
            <w:shd w:fill="F8F9FA"/>
          </w:tcPr>
          <w:p>
            <w:r/>
            <w:r>
              <w:rPr>
                <w:rFonts w:ascii="Calibri" w:hAnsi="Calibri"/>
                <w:color w:val="1F2937"/>
                <w:sz w:val="20"/>
              </w:rPr>
              <w:t>BHV-coördinator</w:t>
            </w:r>
          </w:p>
        </w:tc>
        <w:tc>
          <w:tcPr>
            <w:tcW w:type="dxa" w:w="2835"/>
            <w:shd w:fill="F8F9FA"/>
          </w:tcPr>
          <w:p>
            <w:r/>
            <w:r>
              <w:rPr>
                <w:rFonts w:ascii="Calibri" w:hAnsi="Calibri"/>
                <w:color w:val="1F2937"/>
                <w:sz w:val="20"/>
              </w:rPr>
              <w:t>Operationele inzet</w:t>
            </w:r>
          </w:p>
        </w:tc>
        <w:tc>
          <w:tcPr>
            <w:tcW w:type="dxa" w:w="1134"/>
            <w:shd w:fill="F8F9FA"/>
          </w:tcPr>
          <w:p>
            <w:r/>
            <w:r>
              <w:rPr>
                <w:rFonts w:ascii="Calibri" w:hAnsi="Calibri"/>
                <w:color w:val="1F2937"/>
                <w:sz w:val="20"/>
              </w:rPr>
              <w:t>1</w:t>
            </w:r>
          </w:p>
        </w:tc>
      </w:tr>
    </w:tbl>
    <w:p>
      <w:r>
        <w:br w:type="page"/>
      </w:r>
    </w:p>
    <w:p>
      <w:pPr>
        <w:pStyle w:val="Heading1"/>
      </w:pPr>
      <w:r>
        <w:rPr>
          <w:rFonts w:ascii="Calibri" w:hAnsi="Calibri"/>
          <w:color w:val="003366"/>
        </w:rPr>
        <w:t>1. Doel &amp; Scope</w:t>
      </w:r>
    </w:p>
    <w:p>
      <w:r>
        <w:rPr>
          <w:b/>
          <w:color w:val="003366"/>
        </w:rPr>
        <w:t>Doel</w:t>
      </w:r>
    </w:p>
    <w:p>
      <w:r>
        <w:t>Dit Crisiscommunicatie Plan definieert de gestructureerde aanpak voor communicatie tijdens en na incidenten bij Phoenix Metals B.V. Het plan waarborgt dat alle stakeholders tijdig, accuraat en consistent worden geïnformeerd, conform de eisen van het BRZO 2015, articel 11, en de Seveso III-richtlijn, artikel 12 [1][3].</w:t>
      </w:r>
    </w:p>
    <w:p>
      <w:r>
        <w:rPr>
          <w:b/>
          <w:color w:val="003366"/>
        </w:rPr>
        <w:t>Scope</w:t>
      </w:r>
    </w:p>
    <w:p>
      <w:r>
        <w:t>Dit plan is van toepassing op alle noodsituaties zoals gedefinieerd in het Meta-Dossier (§3–§4) voor de Phoenix Metals-locatie te IJmuiden. De scope omvat:</w:t>
      </w:r>
    </w:p>
    <w:p>
      <w:pPr>
        <w:pStyle w:val="ListBullet"/>
      </w:pPr>
      <w:r>
        <w:t>Interne communicatie naar alle medewerkers en shiftteams</w:t>
      </w:r>
    </w:p>
    <w:p>
      <w:pPr>
        <w:pStyle w:val="ListBullet"/>
      </w:pPr>
      <w:r>
        <w:t>Externe communicatie naar hulpdiensten, autoriteiten en toezichthouders</w:t>
      </w:r>
    </w:p>
    <w:p>
      <w:pPr>
        <w:pStyle w:val="ListBullet"/>
      </w:pPr>
      <w:r>
        <w:t>Perscommunicatie en social media management</w:t>
      </w:r>
    </w:p>
    <w:p>
      <w:pPr>
        <w:pStyle w:val="ListBullet"/>
      </w:pPr>
      <w:r>
        <w:t>Communicatie met omwonenden via gemeentelijke kanalen</w:t>
      </w:r>
    </w:p>
    <w:p>
      <w:pPr>
        <w:pStyle w:val="ListBullet"/>
      </w:pPr>
      <w:r>
        <w:t>Communicatie met familieleden van betrokkenen</w:t>
      </w:r>
    </w:p>
    <w:p>
      <w:pPr>
        <w:pStyle w:val="ListBullet"/>
      </w:pPr>
      <w:r>
        <w:t>Post-crisis communicatie en lessons learned</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pPr>
              <w:jc w:val="left"/>
            </w:pPr>
            <w:r/>
            <w:r>
              <w:rPr>
                <w:rFonts w:ascii="Calibri" w:hAnsi="Calibri"/>
                <w:b/>
                <w:color w:val="FFFFFF"/>
                <w:sz w:val="20"/>
              </w:rPr>
              <w:t>Wetgeving / Regelgeving</w:t>
            </w:r>
          </w:p>
        </w:tc>
        <w:tc>
          <w:tcPr>
            <w:tcW w:type="dxa" w:w="6236"/>
            <w:shd w:fill="003366"/>
          </w:tcPr>
          <w:p>
            <w:pPr>
              <w:jc w:val="left"/>
            </w:pPr>
            <w:r/>
            <w:r>
              <w:rPr>
                <w:rFonts w:ascii="Calibri" w:hAnsi="Calibri"/>
                <w:b/>
                <w:color w:val="FFFFFF"/>
                <w:sz w:val="20"/>
              </w:rPr>
              <w:t>Relevantie</w:t>
            </w:r>
          </w:p>
        </w:tc>
      </w:tr>
      <w:tr>
        <w:tc>
          <w:tcPr>
            <w:tcW w:type="dxa" w:w="2835"/>
          </w:tcPr>
          <w:p>
            <w:r/>
            <w:r>
              <w:rPr>
                <w:rFonts w:ascii="Calibri" w:hAnsi="Calibri"/>
                <w:color w:val="1F2937"/>
                <w:sz w:val="20"/>
              </w:rPr>
              <w:t>BRZO 2015 (Art. 11)</w:t>
            </w:r>
          </w:p>
        </w:tc>
        <w:tc>
          <w:tcPr>
            <w:tcW w:type="dxa" w:w="6236"/>
          </w:tcPr>
          <w:p>
            <w:r/>
            <w:r>
              <w:rPr>
                <w:rFonts w:ascii="Calibri" w:hAnsi="Calibri"/>
                <w:color w:val="1F2937"/>
                <w:sz w:val="20"/>
              </w:rPr>
              <w:t>Verplichting tot interne noodplannen inclusief communicatieprocedures [1]</w:t>
            </w:r>
          </w:p>
        </w:tc>
      </w:tr>
      <w:tr>
        <w:tc>
          <w:tcPr>
            <w:tcW w:type="dxa" w:w="2835"/>
            <w:shd w:fill="F8F9FA"/>
          </w:tcPr>
          <w:p>
            <w:r/>
            <w:r>
              <w:rPr>
                <w:rFonts w:ascii="Calibri" w:hAnsi="Calibri"/>
                <w:color w:val="1F2937"/>
                <w:sz w:val="20"/>
              </w:rPr>
              <w:t>Seveso III-richtlijn (Art. 12)</w:t>
            </w:r>
          </w:p>
        </w:tc>
        <w:tc>
          <w:tcPr>
            <w:tcW w:type="dxa" w:w="6236"/>
            <w:shd w:fill="F8F9FA"/>
          </w:tcPr>
          <w:p>
            <w:r/>
            <w:r>
              <w:rPr>
                <w:rFonts w:ascii="Calibri" w:hAnsi="Calibri"/>
                <w:color w:val="1F2937"/>
                <w:sz w:val="20"/>
              </w:rPr>
              <w:t>Europese richtlijn voor major accident preventie en communicatie [3]</w:t>
            </w:r>
          </w:p>
        </w:tc>
      </w:tr>
      <w:tr>
        <w:tc>
          <w:tcPr>
            <w:tcW w:type="dxa" w:w="2835"/>
          </w:tcPr>
          <w:p>
            <w:r/>
            <w:r>
              <w:rPr>
                <w:rFonts w:ascii="Calibri" w:hAnsi="Calibri"/>
                <w:color w:val="1F2937"/>
                <w:sz w:val="20"/>
              </w:rPr>
              <w:t>Wet rampen en zware ongevallen</w:t>
            </w:r>
          </w:p>
        </w:tc>
        <w:tc>
          <w:tcPr>
            <w:tcW w:type="dxa" w:w="6236"/>
          </w:tcPr>
          <w:p>
            <w:r/>
            <w:r>
              <w:rPr>
                <w:rFonts w:ascii="Calibri" w:hAnsi="Calibri"/>
                <w:color w:val="1F2937"/>
                <w:sz w:val="20"/>
              </w:rPr>
              <w:t>Kader voor crisisbeheersing en communicatieverplichtingen [2]</w:t>
            </w:r>
          </w:p>
        </w:tc>
      </w:tr>
      <w:tr>
        <w:tc>
          <w:tcPr>
            <w:tcW w:type="dxa" w:w="2835"/>
            <w:shd w:fill="F8F9FA"/>
          </w:tcPr>
          <w:p>
            <w:r/>
            <w:r>
              <w:rPr>
                <w:rFonts w:ascii="Calibri" w:hAnsi="Calibri"/>
                <w:color w:val="1F2937"/>
                <w:sz w:val="20"/>
              </w:rPr>
              <w:t>Wet openbaarheid bestuur (WOB)</w:t>
            </w:r>
          </w:p>
        </w:tc>
        <w:tc>
          <w:tcPr>
            <w:tcW w:type="dxa" w:w="6236"/>
            <w:shd w:fill="F8F9FA"/>
          </w:tcPr>
          <w:p>
            <w:r/>
            <w:r>
              <w:rPr>
                <w:rFonts w:ascii="Calibri" w:hAnsi="Calibri"/>
                <w:color w:val="1F2937"/>
                <w:sz w:val="20"/>
              </w:rPr>
              <w:t>Transparantievereisten ten aanzien van overheidscommunicatie</w:t>
            </w:r>
          </w:p>
        </w:tc>
      </w:tr>
      <w:tr>
        <w:tc>
          <w:tcPr>
            <w:tcW w:type="dxa" w:w="2835"/>
          </w:tcPr>
          <w:p>
            <w:r/>
            <w:r>
              <w:rPr>
                <w:rFonts w:ascii="Calibri" w:hAnsi="Calibri"/>
                <w:color w:val="1F2937"/>
                <w:sz w:val="20"/>
              </w:rPr>
              <w:t>Algemene Verordening Gegevensbescherming (AVG)</w:t>
            </w:r>
          </w:p>
        </w:tc>
        <w:tc>
          <w:tcPr>
            <w:tcW w:type="dxa" w:w="6236"/>
          </w:tcPr>
          <w:p>
            <w:r/>
            <w:r>
              <w:rPr>
                <w:rFonts w:ascii="Calibri" w:hAnsi="Calibri"/>
                <w:color w:val="1F2937"/>
                <w:sz w:val="20"/>
              </w:rPr>
              <w:t>Bescherming persoonsgegevens bij communicatie over betrokkenen [4]</w:t>
            </w:r>
          </w:p>
        </w:tc>
      </w:tr>
      <w:tr>
        <w:tc>
          <w:tcPr>
            <w:tcW w:type="dxa" w:w="2835"/>
            <w:shd w:fill="F8F9FA"/>
          </w:tcPr>
          <w:p>
            <w:r/>
            <w:r>
              <w:rPr>
                <w:rFonts w:ascii="Calibri" w:hAnsi="Calibri"/>
                <w:color w:val="1F2937"/>
                <w:sz w:val="20"/>
              </w:rPr>
              <w:t>NTA 8620</w:t>
            </w:r>
          </w:p>
        </w:tc>
        <w:tc>
          <w:tcPr>
            <w:tcW w:type="dxa" w:w="6236"/>
            <w:shd w:fill="F8F9FA"/>
          </w:tcPr>
          <w:p>
            <w:r/>
            <w:r>
              <w:rPr>
                <w:rFonts w:ascii="Calibri" w:hAnsi="Calibri"/>
                <w:color w:val="1F2937"/>
                <w:sz w:val="20"/>
              </w:rPr>
              <w:t>Nederlandse Technische Afspraak voor bedrijfsnoodplannen [5]</w:t>
            </w:r>
          </w:p>
        </w:tc>
      </w:tr>
    </w:tbl>
    <w:p>
      <w:pPr>
        <w:pStyle w:val="Heading1"/>
      </w:pPr>
      <w:r>
        <w:rPr>
          <w:rFonts w:ascii="Calibri" w:hAnsi="Calibri"/>
          <w:color w:val="003366"/>
        </w:rPr>
        <w:t>3. Definities</w:t>
      </w:r>
    </w:p>
    <w:p>
      <w:r>
        <w:rPr>
          <w:rFonts w:ascii="Calibri" w:hAnsi="Calibri"/>
          <w:b/>
          <w:color w:val="003366"/>
        </w:rPr>
        <w:t xml:space="preserve">Crisiscommunicatie: </w:t>
      </w:r>
      <w:r>
        <w:rPr>
          <w:rFonts w:ascii="Calibri" w:hAnsi="Calibri"/>
        </w:rPr>
        <w:t>Alle communicatie-activiteiten gericht op het tijdig, accuraat en consistent informeren van stakeholders tijdens en na een noodsituatie.</w:t>
      </w:r>
    </w:p>
    <w:p>
      <w:r>
        <w:rPr>
          <w:rFonts w:ascii="Calibri" w:hAnsi="Calibri"/>
          <w:b/>
          <w:color w:val="003366"/>
        </w:rPr>
        <w:t xml:space="preserve">Woordvoerder: </w:t>
      </w:r>
      <w:r>
        <w:rPr>
          <w:rFonts w:ascii="Calibri" w:hAnsi="Calibri"/>
        </w:rPr>
        <w:t>De door het management aangewezen persoon die als enige bevoegd is om officiële verklaringen af te geven aan externe partijen en media.</w:t>
      </w:r>
    </w:p>
    <w:p>
      <w:r>
        <w:rPr>
          <w:rFonts w:ascii="Calibri" w:hAnsi="Calibri"/>
          <w:b/>
          <w:color w:val="003366"/>
        </w:rPr>
        <w:t xml:space="preserve">Hold statement: </w:t>
      </w:r>
      <w:r>
        <w:rPr>
          <w:rFonts w:ascii="Calibri" w:hAnsi="Calibri"/>
        </w:rPr>
        <w:t>Een vooraf goedgekeurde, beknopte verklaring die direct kan worden uitgegeven bij een incident, voordat nadere details beschikbaar zijn.</w:t>
      </w:r>
    </w:p>
    <w:p>
      <w:r>
        <w:rPr>
          <w:rFonts w:ascii="Calibri" w:hAnsi="Calibri"/>
          <w:b/>
          <w:color w:val="003366"/>
        </w:rPr>
        <w:t xml:space="preserve">Stakeholder: </w:t>
      </w:r>
      <w:r>
        <w:rPr>
          <w:rFonts w:ascii="Calibri" w:hAnsi="Calibri"/>
        </w:rPr>
        <w:t>Elke persoon of organisatie die direct of indirect betrokken is bij of getroffen wordt door een incident.</w:t>
      </w:r>
    </w:p>
    <w:p>
      <w:r>
        <w:rPr>
          <w:rFonts w:ascii="Calibri" w:hAnsi="Calibri"/>
          <w:b/>
          <w:color w:val="003366"/>
        </w:rPr>
        <w:t xml:space="preserve">Cascade: </w:t>
      </w:r>
      <w:r>
        <w:rPr>
          <w:rFonts w:ascii="Calibri" w:hAnsi="Calibri"/>
        </w:rPr>
        <w:t>Het gestructureerd doorgeven van informatie via een hiërarchische keten van leidinggevenden naar medewerkers.</w:t>
      </w:r>
    </w:p>
    <w:p>
      <w:r>
        <w:rPr>
          <w:rFonts w:ascii="Calibri" w:hAnsi="Calibri"/>
          <w:b/>
          <w:color w:val="003366"/>
        </w:rPr>
        <w:t xml:space="preserve">Press release: </w:t>
      </w:r>
      <w:r>
        <w:rPr>
          <w:rFonts w:ascii="Calibri" w:hAnsi="Calibri"/>
        </w:rPr>
        <w:t>Een officieel persbericht met feitelijke informatie over het incident, bestemd voor media.</w:t>
      </w:r>
    </w:p>
    <w:p>
      <w:pPr>
        <w:pStyle w:val="Heading1"/>
      </w:pPr>
      <w:r>
        <w:rPr>
          <w:rFonts w:ascii="Calibri" w:hAnsi="Calibri"/>
          <w:color w:val="003366"/>
        </w:rPr>
        <w:t>4. Communicatie-organisatie</w:t>
      </w:r>
    </w:p>
    <w:p>
      <w:r>
        <w:t>De communicatie tijdens een crisis wordt uitgevoerd door een gespecialiseerd team met duidelijk gedefinieerde rollen en verantwoordelijkheden [5].</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left"/>
            </w:pPr>
            <w:r/>
            <w:r>
              <w:rPr>
                <w:rFonts w:ascii="Calibri" w:hAnsi="Calibri"/>
                <w:b/>
                <w:color w:val="FFFFFF"/>
                <w:sz w:val="20"/>
              </w:rPr>
              <w:t>Rol</w:t>
            </w:r>
          </w:p>
        </w:tc>
        <w:tc>
          <w:tcPr>
            <w:tcW w:type="dxa" w:w="3969"/>
            <w:shd w:fill="003366"/>
          </w:tcPr>
          <w:p>
            <w:pPr>
              <w:jc w:val="left"/>
            </w:pPr>
            <w:r/>
            <w:r>
              <w:rPr>
                <w:rFonts w:ascii="Calibri" w:hAnsi="Calibri"/>
                <w:b/>
                <w:color w:val="FFFFFF"/>
                <w:sz w:val="20"/>
              </w:rPr>
              <w:t>Verantwoordelijkheid</w:t>
            </w:r>
          </w:p>
        </w:tc>
        <w:tc>
          <w:tcPr>
            <w:tcW w:type="dxa" w:w="2268"/>
            <w:shd w:fill="003366"/>
          </w:tcPr>
          <w:p>
            <w:pPr>
              <w:jc w:val="left"/>
            </w:pPr>
            <w:r/>
            <w:r>
              <w:rPr>
                <w:rFonts w:ascii="Calibri" w:hAnsi="Calibri"/>
                <w:b/>
                <w:color w:val="FFFFFF"/>
                <w:sz w:val="20"/>
              </w:rPr>
              <w:t>Contact</w:t>
            </w:r>
          </w:p>
        </w:tc>
      </w:tr>
      <w:tr>
        <w:tc>
          <w:tcPr>
            <w:tcW w:type="dxa" w:w="2268"/>
          </w:tcPr>
          <w:p>
            <w:r/>
            <w:r>
              <w:rPr>
                <w:rFonts w:ascii="Calibri" w:hAnsi="Calibri"/>
                <w:color w:val="1F2937"/>
                <w:sz w:val="20"/>
              </w:rPr>
              <w:t>Woordvoerder</w:t>
            </w:r>
          </w:p>
        </w:tc>
        <w:tc>
          <w:tcPr>
            <w:tcW w:type="dxa" w:w="3969"/>
          </w:tcPr>
          <w:p>
            <w:r/>
            <w:r>
              <w:rPr>
                <w:rFonts w:ascii="Calibri" w:hAnsi="Calibri"/>
                <w:color w:val="1F2937"/>
                <w:sz w:val="20"/>
              </w:rPr>
              <w:t>Alle externe communicatie; officiële verklaringen aan media en autoriteiten</w:t>
            </w:r>
          </w:p>
        </w:tc>
        <w:tc>
          <w:tcPr>
            <w:tcW w:type="dxa" w:w="2268"/>
          </w:tcPr>
          <w:p>
            <w:r/>
            <w:r>
              <w:rPr>
                <w:rFonts w:ascii="Calibri" w:hAnsi="Calibri"/>
                <w:color w:val="1F2937"/>
                <w:sz w:val="20"/>
              </w:rPr>
              <w:t>CEO/Director</w:t>
            </w:r>
          </w:p>
        </w:tc>
      </w:tr>
      <w:tr>
        <w:tc>
          <w:tcPr>
            <w:tcW w:type="dxa" w:w="2268"/>
            <w:shd w:fill="F8F9FA"/>
          </w:tcPr>
          <w:p>
            <w:r/>
            <w:r>
              <w:rPr>
                <w:rFonts w:ascii="Calibri" w:hAnsi="Calibri"/>
                <w:color w:val="1F2937"/>
                <w:sz w:val="20"/>
              </w:rPr>
              <w:t>Crisisleider</w:t>
            </w:r>
          </w:p>
        </w:tc>
        <w:tc>
          <w:tcPr>
            <w:tcW w:type="dxa" w:w="3969"/>
            <w:shd w:fill="F8F9FA"/>
          </w:tcPr>
          <w:p>
            <w:r/>
            <w:r>
              <w:rPr>
                <w:rFonts w:ascii="Calibri" w:hAnsi="Calibri"/>
                <w:color w:val="1F2937"/>
                <w:sz w:val="20"/>
              </w:rPr>
              <w:t>Interne communicatie, algehele leiding en besluitvorming</w:t>
            </w:r>
          </w:p>
        </w:tc>
        <w:tc>
          <w:tcPr>
            <w:tcW w:type="dxa" w:w="2268"/>
            <w:shd w:fill="F8F9FA"/>
          </w:tcPr>
          <w:p>
            <w:r/>
            <w:r>
              <w:rPr>
                <w:rFonts w:ascii="Calibri" w:hAnsi="Calibri"/>
                <w:color w:val="1F2937"/>
                <w:sz w:val="20"/>
              </w:rPr>
              <w:t>Operations Manager</w:t>
            </w:r>
          </w:p>
        </w:tc>
      </w:tr>
      <w:tr>
        <w:tc>
          <w:tcPr>
            <w:tcW w:type="dxa" w:w="2268"/>
          </w:tcPr>
          <w:p>
            <w:r/>
            <w:r>
              <w:rPr>
                <w:rFonts w:ascii="Calibri" w:hAnsi="Calibri"/>
                <w:color w:val="1F2937"/>
                <w:sz w:val="20"/>
              </w:rPr>
              <w:t>Communicatiecoördinator</w:t>
            </w:r>
          </w:p>
        </w:tc>
        <w:tc>
          <w:tcPr>
            <w:tcW w:type="dxa" w:w="3969"/>
          </w:tcPr>
          <w:p>
            <w:r/>
            <w:r>
              <w:rPr>
                <w:rFonts w:ascii="Calibri" w:hAnsi="Calibri"/>
                <w:color w:val="1F2937"/>
                <w:sz w:val="20"/>
              </w:rPr>
              <w:t>Pers, social media, press releases, hold statements</w:t>
            </w:r>
          </w:p>
        </w:tc>
        <w:tc>
          <w:tcPr>
            <w:tcW w:type="dxa" w:w="2268"/>
          </w:tcPr>
          <w:p>
            <w:r/>
            <w:r>
              <w:rPr>
                <w:rFonts w:ascii="Calibri" w:hAnsi="Calibri"/>
                <w:color w:val="1F2937"/>
                <w:sz w:val="20"/>
              </w:rPr>
              <w:t>Communication Manager</w:t>
            </w:r>
          </w:p>
        </w:tc>
      </w:tr>
      <w:tr>
        <w:tc>
          <w:tcPr>
            <w:tcW w:type="dxa" w:w="2268"/>
            <w:shd w:fill="F8F9FA"/>
          </w:tcPr>
          <w:p>
            <w:r/>
            <w:r>
              <w:rPr>
                <w:rFonts w:ascii="Calibri" w:hAnsi="Calibri"/>
                <w:color w:val="1F2937"/>
                <w:sz w:val="20"/>
              </w:rPr>
              <w:t>HSEQ Manager</w:t>
            </w:r>
          </w:p>
        </w:tc>
        <w:tc>
          <w:tcPr>
            <w:tcW w:type="dxa" w:w="3969"/>
            <w:shd w:fill="F8F9FA"/>
          </w:tcPr>
          <w:p>
            <w:r/>
            <w:r>
              <w:rPr>
                <w:rFonts w:ascii="Calibri" w:hAnsi="Calibri"/>
                <w:color w:val="1F2937"/>
                <w:sz w:val="20"/>
              </w:rPr>
              <w:t>Autoriteiten, toezichthouders, Omgevingsdienst, RIVM</w:t>
            </w:r>
          </w:p>
        </w:tc>
        <w:tc>
          <w:tcPr>
            <w:tcW w:type="dxa" w:w="2268"/>
            <w:shd w:fill="F8F9FA"/>
          </w:tcPr>
          <w:p>
            <w:r/>
            <w:r>
              <w:rPr>
                <w:rFonts w:ascii="Calibri" w:hAnsi="Calibri"/>
                <w:color w:val="1F2937"/>
                <w:sz w:val="20"/>
              </w:rPr>
              <w:t>HSEQ Manager</w:t>
            </w:r>
          </w:p>
        </w:tc>
      </w:tr>
      <w:tr>
        <w:tc>
          <w:tcPr>
            <w:tcW w:type="dxa" w:w="2268"/>
          </w:tcPr>
          <w:p>
            <w:r/>
            <w:r>
              <w:rPr>
                <w:rFonts w:ascii="Calibri" w:hAnsi="Calibri"/>
                <w:color w:val="1F2937"/>
                <w:sz w:val="20"/>
              </w:rPr>
              <w:t>HR Manager</w:t>
            </w:r>
          </w:p>
        </w:tc>
        <w:tc>
          <w:tcPr>
            <w:tcW w:type="dxa" w:w="3969"/>
          </w:tcPr>
          <w:p>
            <w:r/>
            <w:r>
              <w:rPr>
                <w:rFonts w:ascii="Calibri" w:hAnsi="Calibri"/>
                <w:color w:val="1F2937"/>
                <w:sz w:val="20"/>
              </w:rPr>
              <w:t>Familie betrokkenen, persoonlijke communicatie</w:t>
            </w:r>
          </w:p>
        </w:tc>
        <w:tc>
          <w:tcPr>
            <w:tcW w:type="dxa" w:w="2268"/>
          </w:tcPr>
          <w:p>
            <w:r/>
            <w:r>
              <w:rPr>
                <w:rFonts w:ascii="Calibri" w:hAnsi="Calibri"/>
                <w:color w:val="1F2937"/>
                <w:sz w:val="20"/>
              </w:rPr>
              <w:t>HR Manager</w:t>
            </w:r>
          </w:p>
        </w:tc>
      </w:tr>
    </w:tbl>
    <w:p/>
    <w:p>
      <w:r>
        <w:rPr>
          <w:b/>
          <w:color w:val="FF6D00"/>
        </w:rPr>
        <w:t xml:space="preserve">Principe: </w:t>
      </w:r>
      <w:r>
        <w:t>Elke communicatie-rol is uniek toegewezen. Dubbele rollen zijn niet toegestaan om belangenverstrengeling te voorkomen.</w:t>
      </w:r>
    </w:p>
    <w:p>
      <w:pPr>
        <w:pStyle w:val="Heading1"/>
      </w:pPr>
      <w:r>
        <w:rPr>
          <w:rFonts w:ascii="Calibri" w:hAnsi="Calibri"/>
          <w:color w:val="003366"/>
        </w:rPr>
        <w:t>5. Interne Communicatie</w:t>
      </w:r>
    </w:p>
    <w:p>
      <w:r>
        <w:rPr>
          <w:b/>
          <w:color w:val="003366"/>
        </w:rPr>
        <w:t>5.1 Cascade-systeem</w:t>
      </w:r>
    </w:p>
    <w:p>
      <w:r>
        <w:t>De interne communicatie verloopt via een vaste cascade: Crisisleider → Shiftleiders → Medewerkers. De crisisleider activeert de cascade direct bij constatering van een incident [5].</w:t>
      </w:r>
    </w:p>
    <w:p>
      <w:r>
        <w:rPr>
          <w:b/>
          <w:color w:val="003366"/>
        </w:rPr>
        <w:t>5.2 Communicatiekanalen</w:t>
      </w:r>
    </w:p>
    <w:p>
      <w:pPr>
        <w:pStyle w:val="ListBullet"/>
      </w:pPr>
      <w:r>
        <w:t>PA-systeem (omroep) — Alarmering en directe instructies</w:t>
      </w:r>
    </w:p>
    <w:p>
      <w:pPr>
        <w:pStyle w:val="ListBullet"/>
      </w:pPr>
      <w:r>
        <w:t>Draagbare radio's (8 stuks) — Shiftteam en BHV [5]</w:t>
      </w:r>
    </w:p>
    <w:p>
      <w:pPr>
        <w:pStyle w:val="ListBullet"/>
      </w:pPr>
      <w:r>
        <w:t>Telefoon (vast en mobiel) — Individuele bereikbaarheid</w:t>
      </w:r>
    </w:p>
    <w:p>
      <w:pPr>
        <w:pStyle w:val="ListBullet"/>
      </w:pPr>
      <w:r>
        <w:t>Groepsapp (Whisper/Bridge) — Snelle teamcommunicatie</w:t>
      </w:r>
    </w:p>
    <w:p>
      <w:pPr>
        <w:pStyle w:val="ListBullet"/>
      </w:pPr>
      <w:r>
        <w:t>E-mail — Formele communicatie en documentatie</w:t>
      </w:r>
    </w:p>
    <w:p>
      <w:r>
        <w:rPr>
          <w:b/>
          <w:color w:val="003366"/>
        </w:rPr>
        <w:t>5.3 Alarmniveau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134"/>
            <w:shd w:fill="003366"/>
          </w:tcPr>
          <w:p>
            <w:pPr>
              <w:jc w:val="left"/>
            </w:pPr>
            <w:r/>
            <w:r>
              <w:rPr>
                <w:rFonts w:ascii="Calibri" w:hAnsi="Calibri"/>
                <w:b/>
                <w:color w:val="FFFFFF"/>
                <w:sz w:val="20"/>
              </w:rPr>
              <w:t>Niveau</w:t>
            </w:r>
          </w:p>
        </w:tc>
        <w:tc>
          <w:tcPr>
            <w:tcW w:type="dxa" w:w="1134"/>
            <w:shd w:fill="003366"/>
          </w:tcPr>
          <w:p>
            <w:pPr>
              <w:jc w:val="left"/>
            </w:pPr>
            <w:r/>
            <w:r>
              <w:rPr>
                <w:rFonts w:ascii="Calibri" w:hAnsi="Calibri"/>
                <w:b/>
                <w:color w:val="FFFFFF"/>
                <w:sz w:val="20"/>
              </w:rPr>
              <w:t>Code</w:t>
            </w:r>
          </w:p>
        </w:tc>
        <w:tc>
          <w:tcPr>
            <w:tcW w:type="dxa" w:w="6803"/>
            <w:shd w:fill="003366"/>
          </w:tcPr>
          <w:p>
            <w:pPr>
              <w:jc w:val="left"/>
            </w:pPr>
            <w:r/>
            <w:r>
              <w:rPr>
                <w:rFonts w:ascii="Calibri" w:hAnsi="Calibri"/>
                <w:b/>
                <w:color w:val="FFFFFF"/>
                <w:sz w:val="20"/>
              </w:rPr>
              <w:t>Communicatie-actie</w:t>
            </w:r>
          </w:p>
        </w:tc>
      </w:tr>
      <w:tr>
        <w:tc>
          <w:tcPr>
            <w:tcW w:type="dxa" w:w="1134"/>
          </w:tcPr>
          <w:p>
            <w:r/>
            <w:r>
              <w:rPr>
                <w:rFonts w:ascii="Calibri" w:hAnsi="Calibri"/>
                <w:color w:val="1F2937"/>
                <w:sz w:val="20"/>
              </w:rPr>
              <w:t>0</w:t>
            </w:r>
          </w:p>
        </w:tc>
        <w:tc>
          <w:tcPr>
            <w:tcW w:type="dxa" w:w="1134"/>
          </w:tcPr>
          <w:p>
            <w:r/>
            <w:r>
              <w:rPr>
                <w:rFonts w:ascii="Calibri" w:hAnsi="Calibri"/>
                <w:color w:val="1F2937"/>
                <w:sz w:val="20"/>
              </w:rPr>
              <w:t>Groen</w:t>
            </w:r>
          </w:p>
        </w:tc>
        <w:tc>
          <w:tcPr>
            <w:tcW w:type="dxa" w:w="6803"/>
          </w:tcPr>
          <w:p>
            <w:r/>
            <w:r>
              <w:rPr>
                <w:rFonts w:ascii="Calibri" w:hAnsi="Calibri"/>
                <w:color w:val="1F2937"/>
                <w:sz w:val="20"/>
              </w:rPr>
              <w:t>Geen actie. Normale operationele communicatie.</w:t>
            </w:r>
          </w:p>
        </w:tc>
      </w:tr>
      <w:tr>
        <w:tc>
          <w:tcPr>
            <w:tcW w:type="dxa" w:w="1134"/>
            <w:shd w:fill="F8F9FA"/>
          </w:tcPr>
          <w:p>
            <w:r/>
            <w:r>
              <w:rPr>
                <w:rFonts w:ascii="Calibri" w:hAnsi="Calibri"/>
                <w:color w:val="1F2937"/>
                <w:sz w:val="20"/>
              </w:rPr>
              <w:t>1</w:t>
            </w:r>
          </w:p>
        </w:tc>
        <w:tc>
          <w:tcPr>
            <w:tcW w:type="dxa" w:w="1134"/>
            <w:shd w:fill="F8F9FA"/>
          </w:tcPr>
          <w:p>
            <w:r/>
            <w:r>
              <w:rPr>
                <w:rFonts w:ascii="Calibri" w:hAnsi="Calibri"/>
                <w:color w:val="1F2937"/>
                <w:sz w:val="20"/>
              </w:rPr>
              <w:t>Geel</w:t>
            </w:r>
          </w:p>
        </w:tc>
        <w:tc>
          <w:tcPr>
            <w:tcW w:type="dxa" w:w="6803"/>
            <w:shd w:fill="F8F9FA"/>
          </w:tcPr>
          <w:p>
            <w:r/>
            <w:r>
              <w:rPr>
                <w:rFonts w:ascii="Calibri" w:hAnsi="Calibri"/>
                <w:color w:val="1F2937"/>
                <w:sz w:val="20"/>
              </w:rPr>
              <w:t>Lokale melding via shiftleider. Team ter plaatse geïnformeerd.</w:t>
            </w:r>
          </w:p>
        </w:tc>
      </w:tr>
      <w:tr>
        <w:tc>
          <w:tcPr>
            <w:tcW w:type="dxa" w:w="1134"/>
          </w:tcPr>
          <w:p>
            <w:r/>
            <w:r>
              <w:rPr>
                <w:rFonts w:ascii="Calibri" w:hAnsi="Calibri"/>
                <w:color w:val="1F2937"/>
                <w:sz w:val="20"/>
              </w:rPr>
              <w:t>2</w:t>
            </w:r>
          </w:p>
        </w:tc>
        <w:tc>
          <w:tcPr>
            <w:tcW w:type="dxa" w:w="1134"/>
          </w:tcPr>
          <w:p>
            <w:r/>
            <w:r>
              <w:rPr>
                <w:rFonts w:ascii="Calibri" w:hAnsi="Calibri"/>
                <w:color w:val="1F2937"/>
                <w:sz w:val="20"/>
              </w:rPr>
              <w:t>Oranje</w:t>
            </w:r>
          </w:p>
        </w:tc>
        <w:tc>
          <w:tcPr>
            <w:tcW w:type="dxa" w:w="6803"/>
          </w:tcPr>
          <w:p>
            <w:r/>
            <w:r>
              <w:rPr>
                <w:rFonts w:ascii="Calibri" w:hAnsi="Calibri"/>
                <w:color w:val="1F2937"/>
                <w:sz w:val="20"/>
              </w:rPr>
              <w:t>BHV + management geïnformeerd. PA-melding. Cascade geactiveerd.</w:t>
            </w:r>
          </w:p>
        </w:tc>
      </w:tr>
      <w:tr>
        <w:tc>
          <w:tcPr>
            <w:tcW w:type="dxa" w:w="1134"/>
            <w:shd w:fill="F8F9FA"/>
          </w:tcPr>
          <w:p>
            <w:r/>
            <w:r>
              <w:rPr>
                <w:rFonts w:ascii="Calibri" w:hAnsi="Calibri"/>
                <w:color w:val="1F2937"/>
                <w:sz w:val="20"/>
              </w:rPr>
              <w:t>3</w:t>
            </w:r>
          </w:p>
        </w:tc>
        <w:tc>
          <w:tcPr>
            <w:tcW w:type="dxa" w:w="1134"/>
            <w:shd w:fill="F8F9FA"/>
          </w:tcPr>
          <w:p>
            <w:r/>
            <w:r>
              <w:rPr>
                <w:rFonts w:ascii="Calibri" w:hAnsi="Calibri"/>
                <w:color w:val="1F2937"/>
                <w:sz w:val="20"/>
              </w:rPr>
              <w:t>Rood</w:t>
            </w:r>
          </w:p>
        </w:tc>
        <w:tc>
          <w:tcPr>
            <w:tcW w:type="dxa" w:w="6803"/>
            <w:shd w:fill="F8F9FA"/>
          </w:tcPr>
          <w:p>
            <w:r/>
            <w:r>
              <w:rPr>
                <w:rFonts w:ascii="Calibri" w:hAnsi="Calibri"/>
                <w:color w:val="1F2937"/>
                <w:sz w:val="20"/>
              </w:rPr>
              <w:t>Volledige alarm. Alle kanalen actief. Evacuatiecommunicatie. 112 gebeld.</w:t>
            </w:r>
          </w:p>
        </w:tc>
      </w:tr>
      <w:tr>
        <w:tc>
          <w:tcPr>
            <w:tcW w:type="dxa" w:w="1134"/>
          </w:tcPr>
          <w:p>
            <w:r/>
            <w:r>
              <w:rPr>
                <w:rFonts w:ascii="Calibri" w:hAnsi="Calibri"/>
                <w:color w:val="1F2937"/>
                <w:sz w:val="20"/>
              </w:rPr>
              <w:t>4</w:t>
            </w:r>
          </w:p>
        </w:tc>
        <w:tc>
          <w:tcPr>
            <w:tcW w:type="dxa" w:w="1134"/>
          </w:tcPr>
          <w:p>
            <w:r/>
            <w:r>
              <w:rPr>
                <w:rFonts w:ascii="Calibri" w:hAnsi="Calibri"/>
                <w:color w:val="1F2937"/>
                <w:sz w:val="20"/>
              </w:rPr>
              <w:t>Zwart</w:t>
            </w:r>
          </w:p>
        </w:tc>
        <w:tc>
          <w:tcPr>
            <w:tcW w:type="dxa" w:w="6803"/>
          </w:tcPr>
          <w:p>
            <w:r/>
            <w:r>
              <w:rPr>
                <w:rFonts w:ascii="Calibri" w:hAnsi="Calibri"/>
                <w:color w:val="1F2937"/>
                <w:sz w:val="20"/>
              </w:rPr>
              <w:t>Crisismanagement team bijeengeroepen. Externe communicatie gestart. Persprotocol actief.</w:t>
            </w:r>
          </w:p>
        </w:tc>
      </w:tr>
    </w:tbl>
    <w:p/>
    <w:p>
      <w:r>
        <w:rPr>
          <w:b/>
          <w:color w:val="003366"/>
        </w:rPr>
        <w:t>5.4 Shift-overdracht tijdens Crisis</w:t>
      </w:r>
    </w:p>
    <w:p>
      <w:r>
        <w:t>Bij een lopende crisis wordt de shift-overdracht mondeling en schriftelijk uitgevoerd. De inkomende shiftleider ontvangt een crisis-statusupdate met: incidentstatus, actieve maatregelen, openstaande acties, en communicatiepunten. De crisisleider ondertekent de overdracht.</w:t>
      </w:r>
    </w:p>
    <w:p>
      <w:r>
        <w:br w:type="page"/>
      </w:r>
    </w:p>
    <w:p>
      <w:pPr>
        <w:pStyle w:val="Heading1"/>
      </w:pPr>
      <w:r>
        <w:rPr>
          <w:rFonts w:ascii="Calibri" w:hAnsi="Calibri"/>
          <w:color w:val="003366"/>
        </w:rPr>
        <w:t>6. Externe Communicatie — Communicatiematrix</w:t>
      </w:r>
    </w:p>
    <w:p>
      <w:r>
        <w:t>De volgende matrix definieert per stakeholder de communicatie tijdens een incident [1][2][3].</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shd w:fill="003366"/>
          </w:tcPr>
          <w:p>
            <w:pPr>
              <w:jc w:val="left"/>
            </w:pPr>
            <w:r/>
            <w:r>
              <w:rPr>
                <w:rFonts w:ascii="Calibri" w:hAnsi="Calibri"/>
                <w:b/>
                <w:color w:val="FFFFFF"/>
                <w:sz w:val="20"/>
              </w:rPr>
              <w:t>Stakeholder</w:t>
            </w:r>
          </w:p>
        </w:tc>
        <w:tc>
          <w:tcPr>
            <w:tcW w:type="dxa" w:w="1417"/>
            <w:shd w:fill="003366"/>
          </w:tcPr>
          <w:p>
            <w:pPr>
              <w:jc w:val="left"/>
            </w:pPr>
            <w:r/>
            <w:r>
              <w:rPr>
                <w:rFonts w:ascii="Calibri" w:hAnsi="Calibri"/>
                <w:b/>
                <w:color w:val="FFFFFF"/>
                <w:sz w:val="20"/>
              </w:rPr>
              <w:t>Wanneer</w:t>
            </w:r>
          </w:p>
        </w:tc>
        <w:tc>
          <w:tcPr>
            <w:tcW w:type="dxa" w:w="1701"/>
            <w:shd w:fill="003366"/>
          </w:tcPr>
          <w:p>
            <w:pPr>
              <w:jc w:val="left"/>
            </w:pPr>
            <w:r/>
            <w:r>
              <w:rPr>
                <w:rFonts w:ascii="Calibri" w:hAnsi="Calibri"/>
                <w:b/>
                <w:color w:val="FFFFFF"/>
                <w:sz w:val="20"/>
              </w:rPr>
              <w:t>Door wie</w:t>
            </w:r>
          </w:p>
        </w:tc>
        <w:tc>
          <w:tcPr>
            <w:tcW w:type="dxa" w:w="1701"/>
            <w:shd w:fill="003366"/>
          </w:tcPr>
          <w:p>
            <w:pPr>
              <w:jc w:val="left"/>
            </w:pPr>
            <w:r/>
            <w:r>
              <w:rPr>
                <w:rFonts w:ascii="Calibri" w:hAnsi="Calibri"/>
                <w:b/>
                <w:color w:val="FFFFFF"/>
                <w:sz w:val="20"/>
              </w:rPr>
              <w:t>Hoe</w:t>
            </w:r>
          </w:p>
        </w:tc>
        <w:tc>
          <w:tcPr>
            <w:tcW w:type="dxa" w:w="2551"/>
            <w:shd w:fill="003366"/>
          </w:tcPr>
          <w:p>
            <w:pPr>
              <w:jc w:val="left"/>
            </w:pPr>
            <w:r/>
            <w:r>
              <w:rPr>
                <w:rFonts w:ascii="Calibri" w:hAnsi="Calibri"/>
                <w:b/>
                <w:color w:val="FFFFFF"/>
                <w:sz w:val="20"/>
              </w:rPr>
              <w:t>Inhoud</w:t>
            </w:r>
          </w:p>
        </w:tc>
      </w:tr>
      <w:tr>
        <w:tc>
          <w:tcPr>
            <w:tcW w:type="dxa" w:w="1701"/>
          </w:tcPr>
          <w:p>
            <w:r/>
            <w:r>
              <w:rPr>
                <w:rFonts w:ascii="Calibri" w:hAnsi="Calibri"/>
                <w:color w:val="1F2937"/>
                <w:sz w:val="20"/>
              </w:rPr>
              <w:t>Brandweer</w:t>
            </w:r>
          </w:p>
        </w:tc>
        <w:tc>
          <w:tcPr>
            <w:tcW w:type="dxa" w:w="1417"/>
          </w:tcPr>
          <w:p>
            <w:r/>
            <w:r>
              <w:rPr>
                <w:rFonts w:ascii="Calibri" w:hAnsi="Calibri"/>
                <w:color w:val="1F2937"/>
                <w:sz w:val="20"/>
              </w:rPr>
              <w:t>Direct bij alarm</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Wat, waar, hoeveel, betrokken stoffen</w:t>
            </w:r>
          </w:p>
        </w:tc>
      </w:tr>
      <w:tr>
        <w:tc>
          <w:tcPr>
            <w:tcW w:type="dxa" w:w="1701"/>
            <w:shd w:fill="F8F9FA"/>
          </w:tcPr>
          <w:p>
            <w:r/>
            <w:r>
              <w:rPr>
                <w:rFonts w:ascii="Calibri" w:hAnsi="Calibri"/>
                <w:color w:val="1F2937"/>
                <w:sz w:val="20"/>
              </w:rPr>
              <w:t>Politie</w:t>
            </w:r>
          </w:p>
        </w:tc>
        <w:tc>
          <w:tcPr>
            <w:tcW w:type="dxa" w:w="1417"/>
            <w:shd w:fill="F8F9FA"/>
          </w:tcPr>
          <w:p>
            <w:r/>
            <w:r>
              <w:rPr>
                <w:rFonts w:ascii="Calibri" w:hAnsi="Calibri"/>
                <w:color w:val="1F2937"/>
                <w:sz w:val="20"/>
              </w:rPr>
              <w:t>Direct bij evacuatie</w:t>
            </w:r>
          </w:p>
        </w:tc>
        <w:tc>
          <w:tcPr>
            <w:tcW w:type="dxa" w:w="1701"/>
            <w:shd w:fill="F8F9FA"/>
          </w:tcPr>
          <w:p>
            <w:r/>
            <w:r>
              <w:rPr>
                <w:rFonts w:ascii="Calibri" w:hAnsi="Calibri"/>
                <w:color w:val="1F2937"/>
                <w:sz w:val="20"/>
              </w:rPr>
              <w:t>Crisisleider</w:t>
            </w:r>
          </w:p>
        </w:tc>
        <w:tc>
          <w:tcPr>
            <w:tcW w:type="dxa" w:w="1701"/>
            <w:shd w:fill="F8F9FA"/>
          </w:tcPr>
          <w:p>
            <w:r/>
            <w:r>
              <w:rPr>
                <w:rFonts w:ascii="Calibri" w:hAnsi="Calibri"/>
                <w:color w:val="1F2937"/>
                <w:sz w:val="20"/>
              </w:rPr>
              <w:t>112</w:t>
            </w:r>
          </w:p>
        </w:tc>
        <w:tc>
          <w:tcPr>
            <w:tcW w:type="dxa" w:w="2551"/>
            <w:shd w:fill="F8F9FA"/>
          </w:tcPr>
          <w:p>
            <w:r/>
            <w:r>
              <w:rPr>
                <w:rFonts w:ascii="Calibri" w:hAnsi="Calibri"/>
                <w:color w:val="1F2937"/>
                <w:sz w:val="20"/>
              </w:rPr>
              <w:t>Wat, waar, evacuatiebereik</w:t>
            </w:r>
          </w:p>
        </w:tc>
      </w:tr>
      <w:tr>
        <w:tc>
          <w:tcPr>
            <w:tcW w:type="dxa" w:w="1701"/>
          </w:tcPr>
          <w:p>
            <w:r/>
            <w:r>
              <w:rPr>
                <w:rFonts w:ascii="Calibri" w:hAnsi="Calibri"/>
                <w:color w:val="1F2937"/>
                <w:sz w:val="20"/>
              </w:rPr>
              <w:t>Ambulance</w:t>
            </w:r>
          </w:p>
        </w:tc>
        <w:tc>
          <w:tcPr>
            <w:tcW w:type="dxa" w:w="1417"/>
          </w:tcPr>
          <w:p>
            <w:r/>
            <w:r>
              <w:rPr>
                <w:rFonts w:ascii="Calibri" w:hAnsi="Calibri"/>
                <w:color w:val="1F2937"/>
                <w:sz w:val="20"/>
              </w:rPr>
              <w:t>Direct bij gewonden</w:t>
            </w:r>
          </w:p>
        </w:tc>
        <w:tc>
          <w:tcPr>
            <w:tcW w:type="dxa" w:w="1701"/>
          </w:tcPr>
          <w:p>
            <w:r/>
            <w:r>
              <w:rPr>
                <w:rFonts w:ascii="Calibri" w:hAnsi="Calibri"/>
                <w:color w:val="1F2937"/>
                <w:sz w:val="20"/>
              </w:rPr>
              <w:t>Crisisleider</w:t>
            </w:r>
          </w:p>
        </w:tc>
        <w:tc>
          <w:tcPr>
            <w:tcW w:type="dxa" w:w="1701"/>
          </w:tcPr>
          <w:p>
            <w:r/>
            <w:r>
              <w:rPr>
                <w:rFonts w:ascii="Calibri" w:hAnsi="Calibri"/>
                <w:color w:val="1F2937"/>
                <w:sz w:val="20"/>
              </w:rPr>
              <w:t>112</w:t>
            </w:r>
          </w:p>
        </w:tc>
        <w:tc>
          <w:tcPr>
            <w:tcW w:type="dxa" w:w="2551"/>
          </w:tcPr>
          <w:p>
            <w:r/>
            <w:r>
              <w:rPr>
                <w:rFonts w:ascii="Calibri" w:hAnsi="Calibri"/>
                <w:color w:val="1F2937"/>
                <w:sz w:val="20"/>
              </w:rPr>
              <w:t>Aantal gewonden, type letsel</w:t>
            </w:r>
          </w:p>
        </w:tc>
      </w:tr>
      <w:tr>
        <w:tc>
          <w:tcPr>
            <w:tcW w:type="dxa" w:w="1701"/>
            <w:shd w:fill="F8F9FA"/>
          </w:tcPr>
          <w:p>
            <w:r/>
            <w:r>
              <w:rPr>
                <w:rFonts w:ascii="Calibri" w:hAnsi="Calibri"/>
                <w:color w:val="1F2937"/>
                <w:sz w:val="20"/>
              </w:rPr>
              <w:t>Gemeente Velsen</w:t>
            </w:r>
          </w:p>
        </w:tc>
        <w:tc>
          <w:tcPr>
            <w:tcW w:type="dxa" w:w="1417"/>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Telefoon + e-mail</w:t>
            </w:r>
          </w:p>
        </w:tc>
        <w:tc>
          <w:tcPr>
            <w:tcW w:type="dxa" w:w="2551"/>
            <w:shd w:fill="F8F9FA"/>
          </w:tcPr>
          <w:p>
            <w:r/>
            <w:r>
              <w:rPr>
                <w:rFonts w:ascii="Calibri" w:hAnsi="Calibri"/>
                <w:color w:val="1F2937"/>
                <w:sz w:val="20"/>
              </w:rPr>
              <w:t>Hold statement</w:t>
            </w:r>
          </w:p>
        </w:tc>
      </w:tr>
      <w:tr>
        <w:tc>
          <w:tcPr>
            <w:tcW w:type="dxa" w:w="1701"/>
          </w:tcPr>
          <w:p>
            <w:r/>
            <w:r>
              <w:rPr>
                <w:rFonts w:ascii="Calibri" w:hAnsi="Calibri"/>
                <w:color w:val="1F2937"/>
                <w:sz w:val="20"/>
              </w:rPr>
              <w:t>Omgevingsdienst</w:t>
            </w:r>
          </w:p>
        </w:tc>
        <w:tc>
          <w:tcPr>
            <w:tcW w:type="dxa" w:w="1417"/>
          </w:tcPr>
          <w:p>
            <w:r/>
            <w:r>
              <w:rPr>
                <w:rFonts w:ascii="Calibri" w:hAnsi="Calibri"/>
                <w:color w:val="1F2937"/>
                <w:sz w:val="20"/>
              </w:rPr>
              <w:t>&lt;1 uur</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Milieu-impact, stoffen</w:t>
            </w:r>
          </w:p>
        </w:tc>
      </w:tr>
      <w:tr>
        <w:tc>
          <w:tcPr>
            <w:tcW w:type="dxa" w:w="1701"/>
            <w:shd w:fill="F8F9FA"/>
          </w:tcPr>
          <w:p>
            <w:r/>
            <w:r>
              <w:rPr>
                <w:rFonts w:ascii="Calibri" w:hAnsi="Calibri"/>
                <w:color w:val="1F2937"/>
                <w:sz w:val="20"/>
              </w:rPr>
              <w:t>Provincie NH</w:t>
            </w:r>
          </w:p>
        </w:tc>
        <w:tc>
          <w:tcPr>
            <w:tcW w:type="dxa" w:w="1417"/>
            <w:shd w:fill="F8F9FA"/>
          </w:tcPr>
          <w:p>
            <w:r/>
            <w:r>
              <w:rPr>
                <w:rFonts w:ascii="Calibri" w:hAnsi="Calibri"/>
                <w:color w:val="1F2937"/>
                <w:sz w:val="20"/>
              </w:rPr>
              <w:t>&lt;2 uur</w:t>
            </w:r>
          </w:p>
        </w:tc>
        <w:tc>
          <w:tcPr>
            <w:tcW w:type="dxa" w:w="1701"/>
            <w:shd w:fill="F8F9FA"/>
          </w:tcPr>
          <w:p>
            <w:r/>
            <w:r>
              <w:rPr>
                <w:rFonts w:ascii="Calibri" w:hAnsi="Calibri"/>
                <w:color w:val="1F2937"/>
                <w:sz w:val="20"/>
              </w:rPr>
              <w:t>Woordvoerder</w:t>
            </w:r>
          </w:p>
        </w:tc>
        <w:tc>
          <w:tcPr>
            <w:tcW w:type="dxa" w:w="1701"/>
            <w:shd w:fill="F8F9FA"/>
          </w:tcPr>
          <w:p>
            <w:r/>
            <w:r>
              <w:rPr>
                <w:rFonts w:ascii="Calibri" w:hAnsi="Calibri"/>
                <w:color w:val="1F2937"/>
                <w:sz w:val="20"/>
              </w:rPr>
              <w:t>Formeel schriftelijk</w:t>
            </w:r>
          </w:p>
        </w:tc>
        <w:tc>
          <w:tcPr>
            <w:tcW w:type="dxa" w:w="2551"/>
            <w:shd w:fill="F8F9FA"/>
          </w:tcPr>
          <w:p>
            <w:r/>
            <w:r>
              <w:rPr>
                <w:rFonts w:ascii="Calibri" w:hAnsi="Calibri"/>
                <w:color w:val="1F2937"/>
                <w:sz w:val="20"/>
              </w:rPr>
              <w:t>Formele melding</w:t>
            </w:r>
          </w:p>
        </w:tc>
      </w:tr>
      <w:tr>
        <w:tc>
          <w:tcPr>
            <w:tcW w:type="dxa" w:w="1701"/>
          </w:tcPr>
          <w:p>
            <w:r/>
            <w:r>
              <w:rPr>
                <w:rFonts w:ascii="Calibri" w:hAnsi="Calibri"/>
                <w:color w:val="1F2937"/>
                <w:sz w:val="20"/>
              </w:rPr>
              <w:t>RIVM</w:t>
            </w:r>
          </w:p>
        </w:tc>
        <w:tc>
          <w:tcPr>
            <w:tcW w:type="dxa" w:w="1417"/>
          </w:tcPr>
          <w:p>
            <w:r/>
            <w:r>
              <w:rPr>
                <w:rFonts w:ascii="Calibri" w:hAnsi="Calibri"/>
                <w:color w:val="1F2937"/>
                <w:sz w:val="20"/>
              </w:rPr>
              <w:t>&lt;2 uur bij toxic</w:t>
            </w:r>
          </w:p>
        </w:tc>
        <w:tc>
          <w:tcPr>
            <w:tcW w:type="dxa" w:w="1701"/>
          </w:tcPr>
          <w:p>
            <w:r/>
            <w:r>
              <w:rPr>
                <w:rFonts w:ascii="Calibri" w:hAnsi="Calibri"/>
                <w:color w:val="1F2937"/>
                <w:sz w:val="20"/>
              </w:rPr>
              <w:t>HSEQ Manager</w:t>
            </w:r>
          </w:p>
        </w:tc>
        <w:tc>
          <w:tcPr>
            <w:tcW w:type="dxa" w:w="1701"/>
          </w:tcPr>
          <w:p>
            <w:r/>
            <w:r>
              <w:rPr>
                <w:rFonts w:ascii="Calibri" w:hAnsi="Calibri"/>
                <w:color w:val="1F2937"/>
                <w:sz w:val="20"/>
              </w:rPr>
              <w:t>Telefoon</w:t>
            </w:r>
          </w:p>
        </w:tc>
        <w:tc>
          <w:tcPr>
            <w:tcW w:type="dxa" w:w="2551"/>
          </w:tcPr>
          <w:p>
            <w:r/>
            <w:r>
              <w:rPr>
                <w:rFonts w:ascii="Calibri" w:hAnsi="Calibri"/>
                <w:color w:val="1F2937"/>
                <w:sz w:val="20"/>
              </w:rPr>
              <w:t>Stoffen, windrichting, impactgebied</w:t>
            </w:r>
          </w:p>
        </w:tc>
      </w:tr>
      <w:tr>
        <w:tc>
          <w:tcPr>
            <w:tcW w:type="dxa" w:w="1701"/>
            <w:shd w:fill="F8F9FA"/>
          </w:tcPr>
          <w:p>
            <w:r/>
            <w:r>
              <w:rPr>
                <w:rFonts w:ascii="Calibri" w:hAnsi="Calibri"/>
                <w:color w:val="1F2937"/>
                <w:sz w:val="20"/>
              </w:rPr>
              <w:t>Arbeidsinspectie</w:t>
            </w:r>
          </w:p>
        </w:tc>
        <w:tc>
          <w:tcPr>
            <w:tcW w:type="dxa" w:w="1417"/>
            <w:shd w:fill="F8F9FA"/>
          </w:tcPr>
          <w:p>
            <w:r/>
            <w:r>
              <w:rPr>
                <w:rFonts w:ascii="Calibri" w:hAnsi="Calibri"/>
                <w:color w:val="1F2937"/>
                <w:sz w:val="20"/>
              </w:rPr>
              <w:t>&lt;24 uur bij letsel</w:t>
            </w:r>
          </w:p>
        </w:tc>
        <w:tc>
          <w:tcPr>
            <w:tcW w:type="dxa" w:w="1701"/>
            <w:shd w:fill="F8F9FA"/>
          </w:tcPr>
          <w:p>
            <w:r/>
            <w:r>
              <w:rPr>
                <w:rFonts w:ascii="Calibri" w:hAnsi="Calibri"/>
                <w:color w:val="1F2937"/>
                <w:sz w:val="20"/>
              </w:rPr>
              <w:t>HSEQ Manager</w:t>
            </w:r>
          </w:p>
        </w:tc>
        <w:tc>
          <w:tcPr>
            <w:tcW w:type="dxa" w:w="1701"/>
            <w:shd w:fill="F8F9FA"/>
          </w:tcPr>
          <w:p>
            <w:r/>
            <w:r>
              <w:rPr>
                <w:rFonts w:ascii="Calibri" w:hAnsi="Calibri"/>
                <w:color w:val="1F2937"/>
                <w:sz w:val="20"/>
              </w:rPr>
              <w:t>Digitaal formulier</w:t>
            </w:r>
          </w:p>
        </w:tc>
        <w:tc>
          <w:tcPr>
            <w:tcW w:type="dxa" w:w="2551"/>
            <w:shd w:fill="F8F9FA"/>
          </w:tcPr>
          <w:p>
            <w:r/>
            <w:r>
              <w:rPr>
                <w:rFonts w:ascii="Calibri" w:hAnsi="Calibri"/>
                <w:color w:val="1F2937"/>
                <w:sz w:val="20"/>
              </w:rPr>
              <w:t>Onderzoeksaanvraag</w:t>
            </w:r>
          </w:p>
        </w:tc>
      </w:tr>
      <w:tr>
        <w:tc>
          <w:tcPr>
            <w:tcW w:type="dxa" w:w="1701"/>
          </w:tcPr>
          <w:p>
            <w:r/>
            <w:r>
              <w:rPr>
                <w:rFonts w:ascii="Calibri" w:hAnsi="Calibri"/>
                <w:color w:val="1F2937"/>
                <w:sz w:val="20"/>
              </w:rPr>
              <w:t>Omwonenden</w:t>
            </w:r>
          </w:p>
        </w:tc>
        <w:tc>
          <w:tcPr>
            <w:tcW w:type="dxa" w:w="1417"/>
          </w:tcPr>
          <w:p>
            <w:r/>
            <w:r>
              <w:rPr>
                <w:rFonts w:ascii="Calibri" w:hAnsi="Calibri"/>
                <w:color w:val="1F2937"/>
                <w:sz w:val="20"/>
              </w:rPr>
              <w:t>&lt;2 uur</w:t>
            </w:r>
          </w:p>
        </w:tc>
        <w:tc>
          <w:tcPr>
            <w:tcW w:type="dxa" w:w="1701"/>
          </w:tcPr>
          <w:p>
            <w:r/>
            <w:r>
              <w:rPr>
                <w:rFonts w:ascii="Calibri" w:hAnsi="Calibri"/>
                <w:color w:val="1F2937"/>
                <w:sz w:val="20"/>
              </w:rPr>
              <w:t>Gemeente (reverse 112)</w:t>
            </w:r>
          </w:p>
        </w:tc>
        <w:tc>
          <w:tcPr>
            <w:tcW w:type="dxa" w:w="1701"/>
          </w:tcPr>
          <w:p>
            <w:r/>
            <w:r>
              <w:rPr>
                <w:rFonts w:ascii="Calibri" w:hAnsi="Calibri"/>
                <w:color w:val="1F2937"/>
                <w:sz w:val="20"/>
              </w:rPr>
              <w:t>NL-Alert / Reverse 112</w:t>
            </w:r>
          </w:p>
        </w:tc>
        <w:tc>
          <w:tcPr>
            <w:tcW w:type="dxa" w:w="2551"/>
          </w:tcPr>
          <w:p>
            <w:r/>
            <w:r>
              <w:rPr>
                <w:rFonts w:ascii="Calibri" w:hAnsi="Calibri"/>
                <w:color w:val="1F2937"/>
                <w:sz w:val="20"/>
              </w:rPr>
              <w:t>Actieadvies</w:t>
            </w:r>
          </w:p>
        </w:tc>
      </w:tr>
      <w:tr>
        <w:tc>
          <w:tcPr>
            <w:tcW w:type="dxa" w:w="1701"/>
            <w:shd w:fill="F8F9FA"/>
          </w:tcPr>
          <w:p>
            <w:r/>
            <w:r>
              <w:rPr>
                <w:rFonts w:ascii="Calibri" w:hAnsi="Calibri"/>
                <w:color w:val="1F2937"/>
                <w:sz w:val="20"/>
              </w:rPr>
              <w:t>Pers / Media</w:t>
            </w:r>
          </w:p>
        </w:tc>
        <w:tc>
          <w:tcPr>
            <w:tcW w:type="dxa" w:w="1417"/>
            <w:shd w:fill="F8F9FA"/>
          </w:tcPr>
          <w:p>
            <w:r/>
            <w:r>
              <w:rPr>
                <w:rFonts w:ascii="Calibri" w:hAnsi="Calibri"/>
                <w:color w:val="1F2937"/>
                <w:sz w:val="20"/>
              </w:rPr>
              <w:t>&lt;4 uur</w:t>
            </w:r>
          </w:p>
        </w:tc>
        <w:tc>
          <w:tcPr>
            <w:tcW w:type="dxa" w:w="1701"/>
            <w:shd w:fill="F8F9FA"/>
          </w:tcPr>
          <w:p>
            <w:r/>
            <w:r>
              <w:rPr>
                <w:rFonts w:ascii="Calibri" w:hAnsi="Calibri"/>
                <w:color w:val="1F2937"/>
                <w:sz w:val="20"/>
              </w:rPr>
              <w:t>Comm. Coördinator</w:t>
            </w:r>
          </w:p>
        </w:tc>
        <w:tc>
          <w:tcPr>
            <w:tcW w:type="dxa" w:w="1701"/>
            <w:shd w:fill="F8F9FA"/>
          </w:tcPr>
          <w:p>
            <w:r/>
            <w:r>
              <w:rPr>
                <w:rFonts w:ascii="Calibri" w:hAnsi="Calibri"/>
                <w:color w:val="1F2937"/>
                <w:sz w:val="20"/>
              </w:rPr>
              <w:t>Press release</w:t>
            </w:r>
          </w:p>
        </w:tc>
        <w:tc>
          <w:tcPr>
            <w:tcW w:type="dxa" w:w="2551"/>
            <w:shd w:fill="F8F9FA"/>
          </w:tcPr>
          <w:p>
            <w:r/>
            <w:r>
              <w:rPr>
                <w:rFonts w:ascii="Calibri" w:hAnsi="Calibri"/>
                <w:color w:val="1F2937"/>
                <w:sz w:val="20"/>
              </w:rPr>
              <w:t>Hold statement</w:t>
            </w:r>
          </w:p>
        </w:tc>
      </w:tr>
    </w:tbl>
    <w:p>
      <w:pPr>
        <w:pStyle w:val="Heading1"/>
      </w:pPr>
      <w:r>
        <w:rPr>
          <w:rFonts w:ascii="Calibri" w:hAnsi="Calibri"/>
          <w:color w:val="003366"/>
        </w:rPr>
        <w:t>7. Persprotocol</w:t>
      </w:r>
    </w:p>
    <w:p>
      <w:r>
        <w:rPr>
          <w:b/>
          <w:color w:val="003366"/>
        </w:rPr>
        <w:t>7.1 Algemene Regels</w:t>
      </w:r>
    </w:p>
    <w:p>
      <w:pPr>
        <w:pStyle w:val="ListBullet"/>
      </w:pPr>
      <w:r>
        <w:t>Uitsluitend de woordvoerder is bevoegd om met pers te communiceren.</w:t>
      </w:r>
    </w:p>
    <w:p>
      <w:pPr>
        <w:pStyle w:val="ListBullet"/>
      </w:pPr>
      <w:r>
        <w:t>Medewerkers verwijzen alle persvragen door naar de woordvoerder.</w:t>
      </w:r>
    </w:p>
    <w:p>
      <w:pPr>
        <w:pStyle w:val="ListBullet"/>
      </w:pPr>
      <w:r>
        <w:t>Geen medewerker plaatst berichten over het incident op social media.</w:t>
      </w:r>
    </w:p>
    <w:p>
      <w:pPr>
        <w:pStyle w:val="ListBullet"/>
      </w:pPr>
      <w:r>
        <w:t>Alle persuitlatingen worden vooraf afgestemd met de crisisleider.</w:t>
      </w:r>
    </w:p>
    <w:p>
      <w:r>
        <w:rPr>
          <w:b/>
          <w:color w:val="003366"/>
        </w:rPr>
        <w:t>7.2 Hold Statement Templates</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tcPr>
          <w:p>
            <w:pPr>
              <w:jc w:val="left"/>
            </w:pPr>
            <w:r/>
            <w:r>
              <w:rPr>
                <w:rFonts w:ascii="Calibri" w:hAnsi="Calibri"/>
                <w:b/>
                <w:color w:val="FFFFFF"/>
                <w:sz w:val="20"/>
              </w:rPr>
              <w:t>Niveau</w:t>
            </w:r>
          </w:p>
        </w:tc>
        <w:tc>
          <w:tcPr>
            <w:tcW w:type="dxa" w:w="1417"/>
            <w:shd w:fill="003366"/>
          </w:tcPr>
          <w:p>
            <w:pPr>
              <w:jc w:val="left"/>
            </w:pPr>
            <w:r/>
            <w:r>
              <w:rPr>
                <w:rFonts w:ascii="Calibri" w:hAnsi="Calibri"/>
                <w:b/>
                <w:color w:val="FFFFFF"/>
                <w:sz w:val="20"/>
              </w:rPr>
              <w:t>Type</w:t>
            </w:r>
          </w:p>
        </w:tc>
        <w:tc>
          <w:tcPr>
            <w:tcW w:type="dxa" w:w="5953"/>
            <w:shd w:fill="003366"/>
          </w:tcPr>
          <w:p>
            <w:pPr>
              <w:jc w:val="left"/>
            </w:pPr>
            <w:r/>
            <w:r>
              <w:rPr>
                <w:rFonts w:ascii="Calibri" w:hAnsi="Calibri"/>
                <w:b/>
                <w:color w:val="FFFFFF"/>
                <w:sz w:val="20"/>
              </w:rPr>
              <w:t>Sjabloon</w:t>
            </w:r>
          </w:p>
        </w:tc>
      </w:tr>
      <w:tr>
        <w:tc>
          <w:tcPr>
            <w:tcW w:type="dxa" w:w="1701"/>
          </w:tcPr>
          <w:p>
            <w:r/>
            <w:r>
              <w:rPr>
                <w:rFonts w:ascii="Calibri" w:hAnsi="Calibri"/>
                <w:color w:val="1F2937"/>
                <w:sz w:val="20"/>
              </w:rPr>
              <w:t>1 — Bevestiging</w:t>
            </w:r>
          </w:p>
        </w:tc>
        <w:tc>
          <w:tcPr>
            <w:tcW w:type="dxa" w:w="1417"/>
          </w:tcPr>
          <w:p>
            <w:r/>
            <w:r>
              <w:rPr>
                <w:rFonts w:ascii="Calibri" w:hAnsi="Calibri"/>
                <w:color w:val="1F2937"/>
                <w:sz w:val="20"/>
              </w:rPr>
              <w:t>Initieel</w:t>
            </w:r>
          </w:p>
        </w:tc>
        <w:tc>
          <w:tcPr>
            <w:tcW w:type="dxa" w:w="5953"/>
          </w:tcPr>
          <w:p>
            <w:r/>
            <w:r>
              <w:rPr>
                <w:rFonts w:ascii="Calibri" w:hAnsi="Calibri"/>
                <w:color w:val="1F2937"/>
                <w:sz w:val="20"/>
              </w:rPr>
              <w:t>"Er heeft zich een incident voorgedaan op [locatie]. We zijn momenteel bezig met het vaststellen van de omvang. Hulpdiensten zijn ter plaatse. Meer informatie volgt."</w:t>
            </w:r>
          </w:p>
        </w:tc>
      </w:tr>
      <w:tr>
        <w:tc>
          <w:tcPr>
            <w:tcW w:type="dxa" w:w="1701"/>
            <w:shd w:fill="F8F9FA"/>
          </w:tcPr>
          <w:p>
            <w:r/>
            <w:r>
              <w:rPr>
                <w:rFonts w:ascii="Calibri" w:hAnsi="Calibri"/>
                <w:color w:val="1F2937"/>
                <w:sz w:val="20"/>
              </w:rPr>
              <w:t>2 — Update</w:t>
            </w:r>
          </w:p>
        </w:tc>
        <w:tc>
          <w:tcPr>
            <w:tcW w:type="dxa" w:w="1417"/>
            <w:shd w:fill="F8F9FA"/>
          </w:tcPr>
          <w:p>
            <w:r/>
            <w:r>
              <w:rPr>
                <w:rFonts w:ascii="Calibri" w:hAnsi="Calibri"/>
                <w:color w:val="1F2937"/>
                <w:sz w:val="20"/>
              </w:rPr>
              <w:t>Tussentijds</w:t>
            </w:r>
          </w:p>
        </w:tc>
        <w:tc>
          <w:tcPr>
            <w:tcW w:type="dxa" w:w="5953"/>
            <w:shd w:fill="F8F9FA"/>
          </w:tcPr>
          <w:p>
            <w:r/>
            <w:r>
              <w:rPr>
                <w:rFonts w:ascii="Calibri" w:hAnsi="Calibri"/>
                <w:color w:val="1F2937"/>
                <w:sz w:val="20"/>
              </w:rPr>
              <w:t>"Update betreffende het incident op [locatie]: [korte beschrijving status]. [Aantal] personen zijn betrokken. De hulpdiensten hebben de situatie onder controle / zijn nog bezig. Volgende update om [tijdstip]."</w:t>
            </w:r>
          </w:p>
        </w:tc>
      </w:tr>
      <w:tr>
        <w:tc>
          <w:tcPr>
            <w:tcW w:type="dxa" w:w="1701"/>
          </w:tcPr>
          <w:p>
            <w:r/>
            <w:r>
              <w:rPr>
                <w:rFonts w:ascii="Calibri" w:hAnsi="Calibri"/>
                <w:color w:val="1F2937"/>
                <w:sz w:val="20"/>
              </w:rPr>
              <w:t>3 — Afsluiting</w:t>
            </w:r>
          </w:p>
        </w:tc>
        <w:tc>
          <w:tcPr>
            <w:tcW w:type="dxa" w:w="1417"/>
          </w:tcPr>
          <w:p>
            <w:r/>
            <w:r>
              <w:rPr>
                <w:rFonts w:ascii="Calibri" w:hAnsi="Calibri"/>
                <w:color w:val="1F2937"/>
                <w:sz w:val="20"/>
              </w:rPr>
              <w:t>Slot</w:t>
            </w:r>
          </w:p>
        </w:tc>
        <w:tc>
          <w:tcPr>
            <w:tcW w:type="dxa" w:w="5953"/>
          </w:tcPr>
          <w:p>
            <w:r/>
            <w:r>
              <w:rPr>
                <w:rFonts w:ascii="Calibri" w:hAnsi="Calibri"/>
                <w:color w:val="1F2937"/>
                <w:sz w:val="20"/>
              </w:rPr>
              <w:t>"Het incident op [locatie] is afgerond. [Samenvatting]. Er is geen gevaar meer voor de omgeving. Een onderzoek is ingesteld. Results zullen worden gedeeld via [kanaal]."</w:t>
            </w:r>
          </w:p>
        </w:tc>
      </w:tr>
    </w:tbl>
    <w:p/>
    <w:p>
      <w:r>
        <w:rPr>
          <w:b/>
          <w:color w:val="003366"/>
        </w:rPr>
        <w:t>7.3 Persconferentie</w:t>
      </w:r>
    </w:p>
    <w:p>
      <w:r>
        <w:t>Bij alarmniveau Zwart (Niveau 4) organiseert de communicatiecoördinator een persconferentie binnen 8 uur na aanvang van het incident. Locatie: Phoenix Metals directiekamer of extern locatie zoals gemeentehuis Velsen. Deelname: woordvoerder, crisisleider, HSEQ Manager.</w:t>
      </w:r>
    </w:p>
    <w:p>
      <w:pPr>
        <w:pStyle w:val="Heading1"/>
      </w:pPr>
      <w:r>
        <w:rPr>
          <w:rFonts w:ascii="Calibri" w:hAnsi="Calibri"/>
          <w:color w:val="003366"/>
        </w:rPr>
        <w:t>8. Communicatie met Omwonenden</w:t>
      </w:r>
    </w:p>
    <w:p>
      <w:r>
        <w:t>Communicatie met omwonenden verloopt primair via de gemeente Velsen en het NL-Alert / reverse 112-systeem [2].</w:t>
      </w:r>
    </w:p>
    <w:p>
      <w:r>
        <w:rPr>
          <w:b/>
          <w:color w:val="003366"/>
        </w:rPr>
        <w:t>Actieadvies bij toxic release:</w:t>
      </w:r>
    </w:p>
    <w:p>
      <w:pPr>
        <w:pStyle w:val="ListBullet"/>
      </w:pPr>
      <w:r>
        <w:t>Binnenschuilen — direct alle deuren en ramen sluiten</w:t>
      </w:r>
    </w:p>
    <w:p>
      <w:pPr>
        <w:pStyle w:val="ListBullet"/>
      </w:pPr>
      <w:r>
        <w:t>Ventilatie uit — mechanische ventilatie en airco uitschakelen</w:t>
      </w:r>
    </w:p>
    <w:p>
      <w:pPr>
        <w:pStyle w:val="ListBullet"/>
      </w:pPr>
      <w:r>
        <w:t>Afdekken — vochtige doek voor mond en neus bij benodigde buitenlucht</w:t>
      </w:r>
    </w:p>
    <w:p>
      <w:pPr>
        <w:pStyle w:val="ListBullet"/>
      </w:pPr>
      <w:r>
        <w:t>Wachten — all-clear bericht via NL-Alert afwachten</w:t>
      </w:r>
    </w:p>
    <w:p>
      <w:r>
        <w:rPr>
          <w:b/>
          <w:color w:val="003366"/>
        </w:rPr>
        <w:t>All-clear bericht:</w:t>
      </w:r>
    </w:p>
    <w:p>
      <w:r>
        <w:t>Het all-clear bericht wordt verzonden via hetzelfde kanaal (NL-Alert / reverse 112) nadat de crisisleider en HSEQ Manager de situatie als veilig hebben beoordeeld.</w:t>
      </w:r>
    </w:p>
    <w:p>
      <w:r>
        <w:rPr>
          <w:b/>
          <w:color w:val="003366"/>
        </w:rPr>
        <w:t>Informatieavond:</w:t>
      </w:r>
    </w:p>
    <w:p>
      <w:r>
        <w:t>Bij een groot incident (Niveau 3 of 4) organiseert Phoenix Metals in samenwerking met de gemeente Velsen een informatieavond voor omwonenden binnen 1 week na het incident.</w:t>
      </w:r>
    </w:p>
    <w:p>
      <w:pPr>
        <w:pStyle w:val="Heading1"/>
      </w:pPr>
      <w:r>
        <w:rPr>
          <w:rFonts w:ascii="Calibri" w:hAnsi="Calibri"/>
          <w:color w:val="003366"/>
        </w:rPr>
        <w:t>9. Communicatie met Familie van Betrokkenen</w:t>
      </w:r>
    </w:p>
    <w:p>
      <w:r>
        <w:rPr>
          <w:b/>
          <w:color w:val="003366"/>
        </w:rPr>
        <w:t xml:space="preserve">Verantwoordelijke: </w:t>
      </w:r>
      <w:r>
        <w:t>HR Manager, uitsluitend persoonlijk contact.</w:t>
      </w:r>
    </w:p>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pPr>
              <w:jc w:val="left"/>
            </w:pPr>
            <w:r/>
            <w:r>
              <w:rPr>
                <w:rFonts w:ascii="Calibri" w:hAnsi="Calibri"/>
                <w:b/>
                <w:color w:val="FFFFFF"/>
                <w:sz w:val="20"/>
              </w:rPr>
              <w:t>Regel</w:t>
            </w:r>
          </w:p>
        </w:tc>
        <w:tc>
          <w:tcPr>
            <w:tcW w:type="dxa" w:w="6803"/>
            <w:shd w:fill="003366"/>
          </w:tcPr>
          <w:p>
            <w:pPr>
              <w:jc w:val="left"/>
            </w:pPr>
            <w:r/>
            <w:r>
              <w:rPr>
                <w:rFonts w:ascii="Calibri" w:hAnsi="Calibri"/>
                <w:b/>
                <w:color w:val="FFFFFF"/>
                <w:sz w:val="20"/>
              </w:rPr>
              <w:t>Uitvoering</w:t>
            </w:r>
          </w:p>
        </w:tc>
      </w:tr>
      <w:tr>
        <w:tc>
          <w:tcPr>
            <w:tcW w:type="dxa" w:w="2268"/>
          </w:tcPr>
          <w:p>
            <w:r/>
            <w:r>
              <w:rPr>
                <w:rFonts w:ascii="Calibri" w:hAnsi="Calibri"/>
                <w:color w:val="1F2937"/>
                <w:sz w:val="20"/>
              </w:rPr>
              <w:t>Persoonlijk contact</w:t>
            </w:r>
          </w:p>
        </w:tc>
        <w:tc>
          <w:tcPr>
            <w:tcW w:type="dxa" w:w="6803"/>
          </w:tcPr>
          <w:p>
            <w:r/>
            <w:r>
              <w:rPr>
                <w:rFonts w:ascii="Calibri" w:hAnsi="Calibri"/>
                <w:color w:val="1F2937"/>
                <w:sz w:val="20"/>
              </w:rPr>
              <w:t>HR Manager bezoekt familie persoonlijk. NOOIT telefonisch letsel bevestigen.</w:t>
            </w:r>
          </w:p>
        </w:tc>
      </w:tr>
      <w:tr>
        <w:tc>
          <w:tcPr>
            <w:tcW w:type="dxa" w:w="2268"/>
            <w:shd w:fill="F8F9FA"/>
          </w:tcPr>
          <w:p>
            <w:r/>
            <w:r>
              <w:rPr>
                <w:rFonts w:ascii="Calibri" w:hAnsi="Calibri"/>
                <w:color w:val="1F2937"/>
                <w:sz w:val="20"/>
              </w:rPr>
              <w:t>Bevestiging letsel</w:t>
            </w:r>
          </w:p>
        </w:tc>
        <w:tc>
          <w:tcPr>
            <w:tcW w:type="dxa" w:w="6803"/>
            <w:shd w:fill="F8F9FA"/>
          </w:tcPr>
          <w:p>
            <w:r/>
            <w:r>
              <w:rPr>
                <w:rFonts w:ascii="Calibri" w:hAnsi="Calibri"/>
                <w:color w:val="1F2937"/>
                <w:sz w:val="20"/>
              </w:rPr>
              <w:t>Pas na officiële bevestiging door medische dienst / ziekenhuis.</w:t>
            </w:r>
          </w:p>
        </w:tc>
      </w:tr>
      <w:tr>
        <w:tc>
          <w:tcPr>
            <w:tcW w:type="dxa" w:w="2268"/>
          </w:tcPr>
          <w:p>
            <w:r/>
            <w:r>
              <w:rPr>
                <w:rFonts w:ascii="Calibri" w:hAnsi="Calibri"/>
                <w:color w:val="1F2937"/>
                <w:sz w:val="20"/>
              </w:rPr>
              <w:t>Begeleiding ziekenhuis</w:t>
            </w:r>
          </w:p>
        </w:tc>
        <w:tc>
          <w:tcPr>
            <w:tcW w:type="dxa" w:w="6803"/>
          </w:tcPr>
          <w:p>
            <w:r/>
            <w:r>
              <w:rPr>
                <w:rFonts w:ascii="Calibri" w:hAnsi="Calibri"/>
                <w:color w:val="1F2937"/>
                <w:sz w:val="20"/>
              </w:rPr>
              <w:t>HR Manager organiseert vervoer en begeleiding naar ziekenhuis.</w:t>
            </w:r>
          </w:p>
        </w:tc>
      </w:tr>
      <w:tr>
        <w:tc>
          <w:tcPr>
            <w:tcW w:type="dxa" w:w="2268"/>
            <w:shd w:fill="F8F9FA"/>
          </w:tcPr>
          <w:p>
            <w:r/>
            <w:r>
              <w:rPr>
                <w:rFonts w:ascii="Calibri" w:hAnsi="Calibri"/>
                <w:color w:val="1F2937"/>
                <w:sz w:val="20"/>
              </w:rPr>
              <w:t>Psychologische ondersteuning</w:t>
            </w:r>
          </w:p>
        </w:tc>
        <w:tc>
          <w:tcPr>
            <w:tcW w:type="dxa" w:w="6803"/>
            <w:shd w:fill="F8F9FA"/>
          </w:tcPr>
          <w:p>
            <w:r/>
            <w:r>
              <w:rPr>
                <w:rFonts w:ascii="Calibri" w:hAnsi="Calibri"/>
                <w:color w:val="1F2937"/>
                <w:sz w:val="20"/>
              </w:rPr>
              <w:t>Direct aanbieden van bedrijfsmaatschappelijk werk of externe counseling.</w:t>
            </w:r>
          </w:p>
        </w:tc>
      </w:tr>
      <w:tr>
        <w:tc>
          <w:tcPr>
            <w:tcW w:type="dxa" w:w="2268"/>
          </w:tcPr>
          <w:p>
            <w:r/>
            <w:r>
              <w:rPr>
                <w:rFonts w:ascii="Calibri" w:hAnsi="Calibri"/>
                <w:color w:val="1F2937"/>
                <w:sz w:val="20"/>
              </w:rPr>
              <w:t>Doorlopend contact</w:t>
            </w:r>
          </w:p>
        </w:tc>
        <w:tc>
          <w:tcPr>
            <w:tcW w:type="dxa" w:w="6803"/>
          </w:tcPr>
          <w:p>
            <w:r/>
            <w:r>
              <w:rPr>
                <w:rFonts w:ascii="Calibri" w:hAnsi="Calibri"/>
                <w:color w:val="1F2937"/>
                <w:sz w:val="20"/>
              </w:rPr>
              <w:t>HR Manager blijft beschikbaar als aanspreekpunt gedurende het volledige proces.</w:t>
            </w:r>
          </w:p>
        </w:tc>
      </w:tr>
    </w:tbl>
    <w:p/>
    <w:p>
      <w:r>
        <w:rPr>
          <w:b/>
          <w:color w:val="EF4444"/>
        </w:rPr>
        <w:t xml:space="preserve">⚠ AVG-verplichting [4]: </w:t>
      </w:r>
      <w:r>
        <w:t>Persoonsgegevens van betrokkenen worden niet gedeeld met derden (inclusief media) zonder expliciete toestemming of wettelijke verplichting.</w:t>
      </w:r>
    </w:p>
    <w:p>
      <w:r>
        <w:br w:type="page"/>
      </w:r>
    </w:p>
    <w:p>
      <w:pPr>
        <w:pStyle w:val="Heading1"/>
      </w:pPr>
      <w:r>
        <w:rPr>
          <w:rFonts w:ascii="Calibri" w:hAnsi="Calibri"/>
          <w:color w:val="003366"/>
        </w:rPr>
        <w:t>10. Meldingen aan Autoriteiten — Tijdlijnen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984"/>
            <w:shd w:fill="003366"/>
          </w:tcPr>
          <w:p>
            <w:pPr>
              <w:jc w:val="left"/>
            </w:pPr>
            <w:r/>
            <w:r>
              <w:rPr>
                <w:rFonts w:ascii="Calibri" w:hAnsi="Calibri"/>
                <w:b/>
                <w:color w:val="FFFFFF"/>
                <w:sz w:val="20"/>
              </w:rPr>
              <w:t>Autoriteit</w:t>
            </w:r>
          </w:p>
        </w:tc>
        <w:tc>
          <w:tcPr>
            <w:tcW w:type="dxa" w:w="1701"/>
            <w:shd w:fill="003366"/>
          </w:tcPr>
          <w:p>
            <w:pPr>
              <w:jc w:val="left"/>
            </w:pPr>
            <w:r/>
            <w:r>
              <w:rPr>
                <w:rFonts w:ascii="Calibri" w:hAnsi="Calibri"/>
                <w:b/>
                <w:color w:val="FFFFFF"/>
                <w:sz w:val="20"/>
              </w:rPr>
              <w:t>Trigger</w:t>
            </w:r>
          </w:p>
        </w:tc>
        <w:tc>
          <w:tcPr>
            <w:tcW w:type="dxa" w:w="1134"/>
            <w:shd w:fill="003366"/>
          </w:tcPr>
          <w:p>
            <w:pPr>
              <w:jc w:val="left"/>
            </w:pPr>
            <w:r/>
            <w:r>
              <w:rPr>
                <w:rFonts w:ascii="Calibri" w:hAnsi="Calibri"/>
                <w:b/>
                <w:color w:val="FFFFFF"/>
                <w:sz w:val="20"/>
              </w:rPr>
              <w:t>Termijn</w:t>
            </w:r>
          </w:p>
        </w:tc>
        <w:tc>
          <w:tcPr>
            <w:tcW w:type="dxa" w:w="1701"/>
            <w:shd w:fill="003366"/>
          </w:tcPr>
          <w:p>
            <w:pPr>
              <w:jc w:val="left"/>
            </w:pPr>
            <w:r/>
            <w:r>
              <w:rPr>
                <w:rFonts w:ascii="Calibri" w:hAnsi="Calibri"/>
                <w:b/>
                <w:color w:val="FFFFFF"/>
                <w:sz w:val="20"/>
              </w:rPr>
              <w:t>Verantwoordelijke</w:t>
            </w:r>
          </w:p>
        </w:tc>
        <w:tc>
          <w:tcPr>
            <w:tcW w:type="dxa" w:w="2551"/>
            <w:shd w:fill="003366"/>
          </w:tcPr>
          <w:p>
            <w:pPr>
              <w:jc w:val="left"/>
            </w:pPr>
            <w:r/>
            <w:r>
              <w:rPr>
                <w:rFonts w:ascii="Calibri" w:hAnsi="Calibri"/>
                <w:b/>
                <w:color w:val="FFFFFF"/>
                <w:sz w:val="20"/>
              </w:rPr>
              <w:t>Kanaal</w:t>
            </w:r>
          </w:p>
        </w:tc>
      </w:tr>
      <w:tr>
        <w:tc>
          <w:tcPr>
            <w:tcW w:type="dxa" w:w="1984"/>
          </w:tcPr>
          <w:p>
            <w:r/>
            <w:r>
              <w:rPr>
                <w:rFonts w:ascii="Calibri" w:hAnsi="Calibri"/>
                <w:color w:val="1F2937"/>
                <w:sz w:val="20"/>
              </w:rPr>
              <w:t>BRZO-melding (Inspectie SZW)</w:t>
            </w:r>
          </w:p>
        </w:tc>
        <w:tc>
          <w:tcPr>
            <w:tcW w:type="dxa" w:w="1701"/>
          </w:tcPr>
          <w:p>
            <w:r/>
            <w:r>
              <w:rPr>
                <w:rFonts w:ascii="Calibri" w:hAnsi="Calibri"/>
                <w:color w:val="1F2937"/>
                <w:sz w:val="20"/>
              </w:rPr>
              <w:t>Major Accident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formulier</w:t>
            </w:r>
          </w:p>
        </w:tc>
      </w:tr>
      <w:tr>
        <w:tc>
          <w:tcPr>
            <w:tcW w:type="dxa" w:w="1984"/>
            <w:shd w:fill="F8F9FA"/>
          </w:tcPr>
          <w:p>
            <w:r/>
            <w:r>
              <w:rPr>
                <w:rFonts w:ascii="Calibri" w:hAnsi="Calibri"/>
                <w:color w:val="1F2937"/>
                <w:sz w:val="20"/>
              </w:rPr>
              <w:t>Arbeidsinspectie</w:t>
            </w:r>
          </w:p>
        </w:tc>
        <w:tc>
          <w:tcPr>
            <w:tcW w:type="dxa" w:w="1701"/>
            <w:shd w:fill="F8F9FA"/>
          </w:tcPr>
          <w:p>
            <w:r/>
            <w:r>
              <w:rPr>
                <w:rFonts w:ascii="Calibri" w:hAnsi="Calibri"/>
                <w:color w:val="1F2937"/>
                <w:sz w:val="20"/>
              </w:rPr>
              <w:t>Ernstig letsel / overlijden</w:t>
            </w:r>
          </w:p>
        </w:tc>
        <w:tc>
          <w:tcPr>
            <w:tcW w:type="dxa" w:w="1134"/>
            <w:shd w:fill="F8F9FA"/>
          </w:tcPr>
          <w:p>
            <w:r/>
            <w:r>
              <w:rPr>
                <w:rFonts w:ascii="Calibri" w:hAnsi="Calibri"/>
                <w:color w:val="1F2937"/>
                <w:sz w:val="20"/>
              </w:rPr>
              <w:t>&lt;24 uur</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Digitaal formulier</w:t>
            </w:r>
          </w:p>
        </w:tc>
      </w:tr>
      <w:tr>
        <w:tc>
          <w:tcPr>
            <w:tcW w:type="dxa" w:w="1984"/>
          </w:tcPr>
          <w:p>
            <w:r/>
            <w:r>
              <w:rPr>
                <w:rFonts w:ascii="Calibri" w:hAnsi="Calibri"/>
                <w:color w:val="1F2937"/>
                <w:sz w:val="20"/>
              </w:rPr>
              <w:t>Omgevingsdienst</w:t>
            </w:r>
          </w:p>
        </w:tc>
        <w:tc>
          <w:tcPr>
            <w:tcW w:type="dxa" w:w="1701"/>
          </w:tcPr>
          <w:p>
            <w:r/>
            <w:r>
              <w:rPr>
                <w:rFonts w:ascii="Calibri" w:hAnsi="Calibri"/>
                <w:color w:val="1F2937"/>
                <w:sz w:val="20"/>
              </w:rPr>
              <w:t>Milieu-incident</w:t>
            </w:r>
          </w:p>
        </w:tc>
        <w:tc>
          <w:tcPr>
            <w:tcW w:type="dxa" w:w="1134"/>
          </w:tcPr>
          <w:p>
            <w:r/>
            <w:r>
              <w:rPr>
                <w:rFonts w:ascii="Calibri" w:hAnsi="Calibri"/>
                <w:color w:val="1F2937"/>
                <w:sz w:val="20"/>
              </w:rPr>
              <w:t>Direct</w:t>
            </w:r>
          </w:p>
        </w:tc>
        <w:tc>
          <w:tcPr>
            <w:tcW w:type="dxa" w:w="1701"/>
          </w:tcPr>
          <w:p>
            <w:r/>
            <w:r>
              <w:rPr>
                <w:rFonts w:ascii="Calibri" w:hAnsi="Calibri"/>
                <w:color w:val="1F2937"/>
                <w:sz w:val="20"/>
              </w:rPr>
              <w:t>HSEQ Manager</w:t>
            </w:r>
          </w:p>
        </w:tc>
        <w:tc>
          <w:tcPr>
            <w:tcW w:type="dxa" w:w="2551"/>
          </w:tcPr>
          <w:p>
            <w:r/>
            <w:r>
              <w:rPr>
                <w:rFonts w:ascii="Calibri" w:hAnsi="Calibri"/>
                <w:color w:val="1F2937"/>
                <w:sz w:val="20"/>
              </w:rPr>
              <w:t>Telefoon + schriftelijk</w:t>
            </w:r>
          </w:p>
        </w:tc>
      </w:tr>
      <w:tr>
        <w:tc>
          <w:tcPr>
            <w:tcW w:type="dxa" w:w="1984"/>
            <w:shd w:fill="F8F9FA"/>
          </w:tcPr>
          <w:p>
            <w:r/>
            <w:r>
              <w:rPr>
                <w:rFonts w:ascii="Calibri" w:hAnsi="Calibri"/>
                <w:color w:val="1F2937"/>
                <w:sz w:val="20"/>
              </w:rPr>
              <w:t>Gemeente Velsen</w:t>
            </w:r>
          </w:p>
        </w:tc>
        <w:tc>
          <w:tcPr>
            <w:tcW w:type="dxa" w:w="1701"/>
            <w:shd w:fill="F8F9FA"/>
          </w:tcPr>
          <w:p>
            <w:r/>
            <w:r>
              <w:rPr>
                <w:rFonts w:ascii="Calibri" w:hAnsi="Calibri"/>
                <w:color w:val="1F2937"/>
                <w:sz w:val="20"/>
              </w:rPr>
              <w:t>Impact buiten locatie</w:t>
            </w:r>
          </w:p>
        </w:tc>
        <w:tc>
          <w:tcPr>
            <w:tcW w:type="dxa" w:w="1134"/>
            <w:shd w:fill="F8F9FA"/>
          </w:tcPr>
          <w:p>
            <w:r/>
            <w:r>
              <w:rPr>
                <w:rFonts w:ascii="Calibri" w:hAnsi="Calibri"/>
                <w:color w:val="1F2937"/>
                <w:sz w:val="20"/>
              </w:rPr>
              <w:t>&lt;1 uur</w:t>
            </w:r>
          </w:p>
        </w:tc>
        <w:tc>
          <w:tcPr>
            <w:tcW w:type="dxa" w:w="1701"/>
            <w:shd w:fill="F8F9FA"/>
          </w:tcPr>
          <w:p>
            <w:r/>
            <w:r>
              <w:rPr>
                <w:rFonts w:ascii="Calibri" w:hAnsi="Calibri"/>
                <w:color w:val="1F2937"/>
                <w:sz w:val="20"/>
              </w:rPr>
              <w:t>Woordvoerder</w:t>
            </w:r>
          </w:p>
        </w:tc>
        <w:tc>
          <w:tcPr>
            <w:tcW w:type="dxa" w:w="2551"/>
            <w:shd w:fill="F8F9FA"/>
          </w:tcPr>
          <w:p>
            <w:r/>
            <w:r>
              <w:rPr>
                <w:rFonts w:ascii="Calibri" w:hAnsi="Calibri"/>
                <w:color w:val="1F2937"/>
                <w:sz w:val="20"/>
              </w:rPr>
              <w:t>Telefoon + e-mail</w:t>
            </w:r>
          </w:p>
        </w:tc>
      </w:tr>
      <w:tr>
        <w:tc>
          <w:tcPr>
            <w:tcW w:type="dxa" w:w="1984"/>
          </w:tcPr>
          <w:p>
            <w:r/>
            <w:r>
              <w:rPr>
                <w:rFonts w:ascii="Calibri" w:hAnsi="Calibri"/>
                <w:color w:val="1F2937"/>
                <w:sz w:val="20"/>
              </w:rPr>
              <w:t>Provincie Noord-Holland</w:t>
            </w:r>
          </w:p>
        </w:tc>
        <w:tc>
          <w:tcPr>
            <w:tcW w:type="dxa" w:w="1701"/>
          </w:tcPr>
          <w:p>
            <w:r/>
            <w:r>
              <w:rPr>
                <w:rFonts w:ascii="Calibri" w:hAnsi="Calibri"/>
                <w:color w:val="1F2937"/>
                <w:sz w:val="20"/>
              </w:rPr>
              <w:t>Formeel rapport</w:t>
            </w:r>
          </w:p>
        </w:tc>
        <w:tc>
          <w:tcPr>
            <w:tcW w:type="dxa" w:w="1134"/>
          </w:tcPr>
          <w:p>
            <w:r/>
            <w:r>
              <w:rPr>
                <w:rFonts w:ascii="Calibri" w:hAnsi="Calibri"/>
                <w:color w:val="1F2937"/>
                <w:sz w:val="20"/>
              </w:rPr>
              <w:t>&lt;24 uur</w:t>
            </w:r>
          </w:p>
        </w:tc>
        <w:tc>
          <w:tcPr>
            <w:tcW w:type="dxa" w:w="1701"/>
          </w:tcPr>
          <w:p>
            <w:r/>
            <w:r>
              <w:rPr>
                <w:rFonts w:ascii="Calibri" w:hAnsi="Calibri"/>
                <w:color w:val="1F2937"/>
                <w:sz w:val="20"/>
              </w:rPr>
              <w:t>Woordvoerder</w:t>
            </w:r>
          </w:p>
        </w:tc>
        <w:tc>
          <w:tcPr>
            <w:tcW w:type="dxa" w:w="2551"/>
          </w:tcPr>
          <w:p>
            <w:r/>
            <w:r>
              <w:rPr>
                <w:rFonts w:ascii="Calibri" w:hAnsi="Calibri"/>
                <w:color w:val="1F2937"/>
                <w:sz w:val="20"/>
              </w:rPr>
              <w:t>Schriftelijk rapport</w:t>
            </w:r>
          </w:p>
        </w:tc>
      </w:tr>
      <w:tr>
        <w:tc>
          <w:tcPr>
            <w:tcW w:type="dxa" w:w="1984"/>
            <w:shd w:fill="F8F9FA"/>
          </w:tcPr>
          <w:p>
            <w:r/>
            <w:r>
              <w:rPr>
                <w:rFonts w:ascii="Calibri" w:hAnsi="Calibri"/>
                <w:color w:val="1F2937"/>
                <w:sz w:val="20"/>
              </w:rPr>
              <w:t>RIVM</w:t>
            </w:r>
          </w:p>
        </w:tc>
        <w:tc>
          <w:tcPr>
            <w:tcW w:type="dxa" w:w="1701"/>
            <w:shd w:fill="F8F9FA"/>
          </w:tcPr>
          <w:p>
            <w:r/>
            <w:r>
              <w:rPr>
                <w:rFonts w:ascii="Calibri" w:hAnsi="Calibri"/>
                <w:color w:val="1F2937"/>
                <w:sz w:val="20"/>
              </w:rPr>
              <w:t>Toxische emissie</w:t>
            </w:r>
          </w:p>
        </w:tc>
        <w:tc>
          <w:tcPr>
            <w:tcW w:type="dxa" w:w="1134"/>
            <w:shd w:fill="F8F9FA"/>
          </w:tcPr>
          <w:p>
            <w:r/>
            <w:r>
              <w:rPr>
                <w:rFonts w:ascii="Calibri" w:hAnsi="Calibri"/>
                <w:color w:val="1F2937"/>
                <w:sz w:val="20"/>
              </w:rPr>
              <w:t>Direct</w:t>
            </w:r>
          </w:p>
        </w:tc>
        <w:tc>
          <w:tcPr>
            <w:tcW w:type="dxa" w:w="1701"/>
            <w:shd w:fill="F8F9FA"/>
          </w:tcPr>
          <w:p>
            <w:r/>
            <w:r>
              <w:rPr>
                <w:rFonts w:ascii="Calibri" w:hAnsi="Calibri"/>
                <w:color w:val="1F2937"/>
                <w:sz w:val="20"/>
              </w:rPr>
              <w:t>HSEQ Manager</w:t>
            </w:r>
          </w:p>
        </w:tc>
        <w:tc>
          <w:tcPr>
            <w:tcW w:type="dxa" w:w="2551"/>
            <w:shd w:fill="F8F9FA"/>
          </w:tcPr>
          <w:p>
            <w:r/>
            <w:r>
              <w:rPr>
                <w:rFonts w:ascii="Calibri" w:hAnsi="Calibri"/>
                <w:color w:val="1F2937"/>
                <w:sz w:val="20"/>
              </w:rPr>
              <w:t>Telefoon</w:t>
            </w:r>
          </w:p>
        </w:tc>
      </w:tr>
    </w:tbl>
    <w:p>
      <w:pPr>
        <w:pStyle w:val="Heading1"/>
      </w:pPr>
      <w:r>
        <w:rPr>
          <w:rFonts w:ascii="Calibri" w:hAnsi="Calibri"/>
          <w:color w:val="003366"/>
        </w:rPr>
        <w:t>11. Post-Crisis Communicatie</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tcPr>
          <w:p>
            <w:pPr>
              <w:jc w:val="left"/>
            </w:pPr>
            <w:r/>
            <w:r>
              <w:rPr>
                <w:rFonts w:ascii="Calibri" w:hAnsi="Calibri"/>
                <w:b/>
                <w:color w:val="FFFFFF"/>
                <w:sz w:val="20"/>
              </w:rPr>
              <w:t>Actie</w:t>
            </w:r>
          </w:p>
        </w:tc>
        <w:tc>
          <w:tcPr>
            <w:tcW w:type="dxa" w:w="1701"/>
            <w:shd w:fill="003366"/>
          </w:tcPr>
          <w:p>
            <w:pPr>
              <w:jc w:val="left"/>
            </w:pPr>
            <w:r/>
            <w:r>
              <w:rPr>
                <w:rFonts w:ascii="Calibri" w:hAnsi="Calibri"/>
                <w:b/>
                <w:color w:val="FFFFFF"/>
                <w:sz w:val="20"/>
              </w:rPr>
              <w:t>Termijn</w:t>
            </w:r>
          </w:p>
        </w:tc>
        <w:tc>
          <w:tcPr>
            <w:tcW w:type="dxa" w:w="3969"/>
            <w:shd w:fill="003366"/>
          </w:tcPr>
          <w:p>
            <w:pPr>
              <w:jc w:val="left"/>
            </w:pPr>
            <w:r/>
            <w:r>
              <w:rPr>
                <w:rFonts w:ascii="Calibri" w:hAnsi="Calibri"/>
                <w:b/>
                <w:color w:val="FFFFFF"/>
                <w:sz w:val="20"/>
              </w:rPr>
              <w:t>Verantwoordelijke</w:t>
            </w:r>
          </w:p>
        </w:tc>
      </w:tr>
      <w:tr>
        <w:tc>
          <w:tcPr>
            <w:tcW w:type="dxa" w:w="3402"/>
          </w:tcPr>
          <w:p>
            <w:r/>
            <w:r>
              <w:rPr>
                <w:rFonts w:ascii="Calibri" w:hAnsi="Calibri"/>
                <w:color w:val="1F2937"/>
                <w:sz w:val="20"/>
              </w:rPr>
              <w:t>Intern debrief met alle betrokkenen</w:t>
            </w:r>
          </w:p>
        </w:tc>
        <w:tc>
          <w:tcPr>
            <w:tcW w:type="dxa" w:w="1701"/>
          </w:tcPr>
          <w:p>
            <w:r/>
            <w:r>
              <w:rPr>
                <w:rFonts w:ascii="Calibri" w:hAnsi="Calibri"/>
                <w:color w:val="1F2937"/>
                <w:sz w:val="20"/>
              </w:rPr>
              <w:t>&lt;48 uur</w:t>
            </w:r>
          </w:p>
        </w:tc>
        <w:tc>
          <w:tcPr>
            <w:tcW w:type="dxa" w:w="3969"/>
          </w:tcPr>
          <w:p>
            <w:r/>
            <w:r>
              <w:rPr>
                <w:rFonts w:ascii="Calibri" w:hAnsi="Calibri"/>
                <w:color w:val="1F2937"/>
                <w:sz w:val="20"/>
              </w:rPr>
              <w:t>Crisisleider</w:t>
            </w:r>
          </w:p>
        </w:tc>
      </w:tr>
      <w:tr>
        <w:tc>
          <w:tcPr>
            <w:tcW w:type="dxa" w:w="3402"/>
            <w:shd w:fill="F8F9FA"/>
          </w:tcPr>
          <w:p>
            <w:r/>
            <w:r>
              <w:rPr>
                <w:rFonts w:ascii="Calibri" w:hAnsi="Calibri"/>
                <w:color w:val="1F2937"/>
                <w:sz w:val="20"/>
              </w:rPr>
              <w:t>Extern rapport aan autoriteiten</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HSEQ Manager</w:t>
            </w:r>
          </w:p>
        </w:tc>
      </w:tr>
      <w:tr>
        <w:tc>
          <w:tcPr>
            <w:tcW w:type="dxa" w:w="3402"/>
          </w:tcPr>
          <w:p>
            <w:r/>
            <w:r>
              <w:rPr>
                <w:rFonts w:ascii="Calibri" w:hAnsi="Calibri"/>
                <w:color w:val="1F2937"/>
                <w:sz w:val="20"/>
              </w:rPr>
              <w:t>Persbericht bij afsluiting incident</w:t>
            </w:r>
          </w:p>
        </w:tc>
        <w:tc>
          <w:tcPr>
            <w:tcW w:type="dxa" w:w="1701"/>
          </w:tcPr>
          <w:p>
            <w:r/>
            <w:r>
              <w:rPr>
                <w:rFonts w:ascii="Calibri" w:hAnsi="Calibri"/>
                <w:color w:val="1F2937"/>
                <w:sz w:val="20"/>
              </w:rPr>
              <w:t>Bij all-clear</w:t>
            </w:r>
          </w:p>
        </w:tc>
        <w:tc>
          <w:tcPr>
            <w:tcW w:type="dxa" w:w="3969"/>
          </w:tcPr>
          <w:p>
            <w:r/>
            <w:r>
              <w:rPr>
                <w:rFonts w:ascii="Calibri" w:hAnsi="Calibri"/>
                <w:color w:val="1F2937"/>
                <w:sz w:val="20"/>
              </w:rPr>
              <w:t>Comm. Coördinator</w:t>
            </w:r>
          </w:p>
        </w:tc>
      </w:tr>
      <w:tr>
        <w:tc>
          <w:tcPr>
            <w:tcW w:type="dxa" w:w="3402"/>
            <w:shd w:fill="F8F9FA"/>
          </w:tcPr>
          <w:p>
            <w:r/>
            <w:r>
              <w:rPr>
                <w:rFonts w:ascii="Calibri" w:hAnsi="Calibri"/>
                <w:color w:val="1F2937"/>
                <w:sz w:val="20"/>
              </w:rPr>
              <w:t>Omwonenden informeren over afsluiting</w:t>
            </w:r>
          </w:p>
        </w:tc>
        <w:tc>
          <w:tcPr>
            <w:tcW w:type="dxa" w:w="1701"/>
            <w:shd w:fill="F8F9FA"/>
          </w:tcPr>
          <w:p>
            <w:r/>
            <w:r>
              <w:rPr>
                <w:rFonts w:ascii="Calibri" w:hAnsi="Calibri"/>
                <w:color w:val="1F2937"/>
                <w:sz w:val="20"/>
              </w:rPr>
              <w:t>&lt;1 week</w:t>
            </w:r>
          </w:p>
        </w:tc>
        <w:tc>
          <w:tcPr>
            <w:tcW w:type="dxa" w:w="3969"/>
            <w:shd w:fill="F8F9FA"/>
          </w:tcPr>
          <w:p>
            <w:r/>
            <w:r>
              <w:rPr>
                <w:rFonts w:ascii="Calibri" w:hAnsi="Calibri"/>
                <w:color w:val="1F2937"/>
                <w:sz w:val="20"/>
              </w:rPr>
              <w:t>Gemeente Velsen</w:t>
            </w:r>
          </w:p>
        </w:tc>
      </w:tr>
      <w:tr>
        <w:tc>
          <w:tcPr>
            <w:tcW w:type="dxa" w:w="3402"/>
          </w:tcPr>
          <w:p>
            <w:r/>
            <w:r>
              <w:rPr>
                <w:rFonts w:ascii="Calibri" w:hAnsi="Calibri"/>
                <w:color w:val="1F2937"/>
                <w:sz w:val="20"/>
              </w:rPr>
              <w:t>Lessons learned rapport</w:t>
            </w:r>
          </w:p>
        </w:tc>
        <w:tc>
          <w:tcPr>
            <w:tcW w:type="dxa" w:w="1701"/>
          </w:tcPr>
          <w:p>
            <w:r/>
            <w:r>
              <w:rPr>
                <w:rFonts w:ascii="Calibri" w:hAnsi="Calibri"/>
                <w:color w:val="1F2937"/>
                <w:sz w:val="20"/>
              </w:rPr>
              <w:t>&lt;2 weken</w:t>
            </w:r>
          </w:p>
        </w:tc>
        <w:tc>
          <w:tcPr>
            <w:tcW w:type="dxa" w:w="3969"/>
          </w:tcPr>
          <w:p>
            <w:r/>
            <w:r>
              <w:rPr>
                <w:rFonts w:ascii="Calibri" w:hAnsi="Calibri"/>
                <w:color w:val="1F2937"/>
                <w:sz w:val="20"/>
              </w:rPr>
              <w:t>HSEQ Manager + Crisisleider</w:t>
            </w:r>
          </w:p>
        </w:tc>
      </w:tr>
      <w:tr>
        <w:tc>
          <w:tcPr>
            <w:tcW w:type="dxa" w:w="3402"/>
            <w:shd w:fill="F8F9FA"/>
          </w:tcPr>
          <w:p>
            <w:r/>
            <w:r>
              <w:rPr>
                <w:rFonts w:ascii="Calibri" w:hAnsi="Calibri"/>
                <w:color w:val="1F2937"/>
                <w:sz w:val="20"/>
              </w:rPr>
              <w:t>Lessons learned communicatie naar medewerkers</w:t>
            </w:r>
          </w:p>
        </w:tc>
        <w:tc>
          <w:tcPr>
            <w:tcW w:type="dxa" w:w="1701"/>
            <w:shd w:fill="F8F9FA"/>
          </w:tcPr>
          <w:p>
            <w:r/>
            <w:r>
              <w:rPr>
                <w:rFonts w:ascii="Calibri" w:hAnsi="Calibri"/>
                <w:color w:val="1F2937"/>
                <w:sz w:val="20"/>
              </w:rPr>
              <w:t>&lt;3 weken</w:t>
            </w:r>
          </w:p>
        </w:tc>
        <w:tc>
          <w:tcPr>
            <w:tcW w:type="dxa" w:w="3969"/>
            <w:shd w:fill="F8F9FA"/>
          </w:tcPr>
          <w:p>
            <w:r/>
            <w:r>
              <w:rPr>
                <w:rFonts w:ascii="Calibri" w:hAnsi="Calibri"/>
                <w:color w:val="1F2937"/>
                <w:sz w:val="20"/>
              </w:rPr>
              <w:t>HR Manager</w:t>
            </w:r>
          </w:p>
        </w:tc>
      </w:tr>
    </w:tbl>
    <w:p>
      <w:pPr>
        <w:pStyle w:val="Heading1"/>
      </w:pPr>
      <w:r>
        <w:rPr>
          <w:rFonts w:ascii="Calibri" w:hAnsi="Calibri"/>
          <w:color w:val="003366"/>
        </w:rPr>
        <w:t>12. Bronnenlijst</w:t>
      </w:r>
    </w:p>
    <w:p>
      <w:pPr>
        <w:pStyle w:val="ListBullet"/>
      </w:pPr>
      <w:r>
        <w:t>[1] BRZO 2015, Artikel 11 — Interne noodplannen voor BRZO-inrichtingen.</w:t>
      </w:r>
    </w:p>
    <w:p>
      <w:pPr>
        <w:pStyle w:val="ListBullet"/>
      </w:pPr>
      <w:r>
        <w:t>[2] Wet rampen en zware ongevallen — Kader voor crisisbeheersing en communicatieverplichtingen.</w:t>
      </w:r>
    </w:p>
    <w:p>
      <w:pPr>
        <w:pStyle w:val="ListBullet"/>
      </w:pPr>
      <w:r>
        <w:t>[3] Seveso III-richtlijn (2012/18/EU), Artikel 12 — Emergency planning and communication.</w:t>
      </w:r>
    </w:p>
    <w:p>
      <w:pPr>
        <w:pStyle w:val="ListBullet"/>
      </w:pPr>
      <w:r>
        <w:t>[4] Algemene Verordening Gegevensbescherming (AVG / GDPR) — Bescherming persoonsgegevens.</w:t>
      </w:r>
    </w:p>
    <w:p>
      <w:pPr>
        <w:pStyle w:val="ListBullet"/>
      </w:pPr>
      <w:r>
        <w:t>[5] Meta-Dossier VBS Element 4, Phoenix Metals B.V., Versie 1.0, 29 april 2026.</w:t>
      </w:r>
    </w:p>
    <w:p>
      <w:pPr>
        <w:pStyle w:val="Heading1"/>
      </w:pPr>
      <w:r>
        <w:rPr>
          <w:rFonts w:ascii="Calibri" w:hAnsi="Calibri"/>
          <w:color w:val="003366"/>
        </w:rP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567"/>
            <w:shd w:fill="003366"/>
          </w:tcPr>
          <w:p>
            <w:pPr>
              <w:jc w:val="left"/>
            </w:pPr>
            <w:r/>
            <w:r>
              <w:rPr>
                <w:rFonts w:ascii="Calibri" w:hAnsi="Calibri"/>
                <w:b/>
                <w:color w:val="FFFFFF"/>
                <w:sz w:val="20"/>
              </w:rPr>
              <w:t>#</w:t>
            </w:r>
          </w:p>
        </w:tc>
        <w:tc>
          <w:tcPr>
            <w:tcW w:type="dxa" w:w="3969"/>
            <w:shd w:fill="003366"/>
          </w:tcPr>
          <w:p>
            <w:pPr>
              <w:jc w:val="left"/>
            </w:pPr>
            <w:r/>
            <w:r>
              <w:rPr>
                <w:rFonts w:ascii="Calibri" w:hAnsi="Calibri"/>
                <w:b/>
                <w:color w:val="FFFFFF"/>
                <w:sz w:val="20"/>
              </w:rPr>
              <w:t>Check</w:t>
            </w:r>
          </w:p>
        </w:tc>
        <w:tc>
          <w:tcPr>
            <w:tcW w:type="dxa" w:w="2268"/>
            <w:shd w:fill="003366"/>
          </w:tcPr>
          <w:p>
            <w:pPr>
              <w:jc w:val="left"/>
            </w:pPr>
            <w:r/>
            <w:r>
              <w:rPr>
                <w:rFonts w:ascii="Calibri" w:hAnsi="Calibri"/>
                <w:b/>
                <w:color w:val="FFFFFF"/>
                <w:sz w:val="20"/>
              </w:rPr>
              <w:t>Bron</w:t>
            </w:r>
          </w:p>
        </w:tc>
        <w:tc>
          <w:tcPr>
            <w:tcW w:type="dxa" w:w="1134"/>
            <w:shd w:fill="003366"/>
          </w:tcPr>
          <w:p>
            <w:pPr>
              <w:jc w:val="left"/>
            </w:pPr>
            <w:r/>
            <w:r>
              <w:rPr>
                <w:rFonts w:ascii="Calibri" w:hAnsi="Calibri"/>
                <w:b/>
                <w:color w:val="FFFFFF"/>
                <w:sz w:val="20"/>
              </w:rPr>
              <w:t>Status</w:t>
            </w:r>
          </w:p>
        </w:tc>
      </w:tr>
      <w:tr>
        <w:tc>
          <w:tcPr>
            <w:tcW w:type="dxa" w:w="567"/>
          </w:tcPr>
          <w:p>
            <w:r/>
            <w:r>
              <w:rPr>
                <w:rFonts w:ascii="Calibri" w:hAnsi="Calibri"/>
                <w:color w:val="1F2937"/>
                <w:sz w:val="20"/>
              </w:rPr>
              <w:t>1</w:t>
            </w:r>
          </w:p>
        </w:tc>
        <w:tc>
          <w:tcPr>
            <w:tcW w:type="dxa" w:w="3969"/>
          </w:tcPr>
          <w:p>
            <w:r/>
            <w:r>
              <w:rPr>
                <w:rFonts w:ascii="Calibri" w:hAnsi="Calibri"/>
                <w:color w:val="1F2937"/>
                <w:sz w:val="20"/>
              </w:rPr>
              <w:t>Wettelijke basis BRZO 2015 Art. 11 opgenomen</w:t>
            </w:r>
          </w:p>
        </w:tc>
        <w:tc>
          <w:tcPr>
            <w:tcW w:type="dxa" w:w="2268"/>
          </w:tcPr>
          <w:p>
            <w:r/>
            <w:r>
              <w:rPr>
                <w:rFonts w:ascii="Calibri" w:hAnsi="Calibri"/>
                <w:color w:val="1F2937"/>
                <w:sz w:val="20"/>
              </w:rPr>
              <w:t>BRZO 2015</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2</w:t>
            </w:r>
          </w:p>
        </w:tc>
        <w:tc>
          <w:tcPr>
            <w:tcW w:type="dxa" w:w="3969"/>
            <w:shd w:fill="F8F9FA"/>
          </w:tcPr>
          <w:p>
            <w:r/>
            <w:r>
              <w:rPr>
                <w:rFonts w:ascii="Calibri" w:hAnsi="Calibri"/>
                <w:color w:val="1F2937"/>
                <w:sz w:val="20"/>
              </w:rPr>
              <w:t>Seveso III Art. 12 compliantie geverifieerd</w:t>
            </w:r>
          </w:p>
        </w:tc>
        <w:tc>
          <w:tcPr>
            <w:tcW w:type="dxa" w:w="2268"/>
            <w:shd w:fill="F8F9FA"/>
          </w:tcPr>
          <w:p>
            <w:r/>
            <w:r>
              <w:rPr>
                <w:rFonts w:ascii="Calibri" w:hAnsi="Calibri"/>
                <w:color w:val="1F2937"/>
                <w:sz w:val="20"/>
              </w:rPr>
              <w:t>Seveso III</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3</w:t>
            </w:r>
          </w:p>
        </w:tc>
        <w:tc>
          <w:tcPr>
            <w:tcW w:type="dxa" w:w="3969"/>
          </w:tcPr>
          <w:p>
            <w:r/>
            <w:r>
              <w:rPr>
                <w:rFonts w:ascii="Calibri" w:hAnsi="Calibri"/>
                <w:color w:val="1F2937"/>
                <w:sz w:val="20"/>
              </w:rPr>
              <w:t>Alle alarmniveaus (0–4) gedekt in communicatieplan</w:t>
            </w:r>
          </w:p>
        </w:tc>
        <w:tc>
          <w:tcPr>
            <w:tcW w:type="dxa" w:w="2268"/>
          </w:tcPr>
          <w:p>
            <w:r/>
            <w:r>
              <w:rPr>
                <w:rFonts w:ascii="Calibri" w:hAnsi="Calibri"/>
                <w:color w:val="1F2937"/>
                <w:sz w:val="20"/>
              </w:rPr>
              <w:t>Meta-Dossier §4</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4</w:t>
            </w:r>
          </w:p>
        </w:tc>
        <w:tc>
          <w:tcPr>
            <w:tcW w:type="dxa" w:w="3969"/>
            <w:shd w:fill="F8F9FA"/>
          </w:tcPr>
          <w:p>
            <w:r/>
            <w:r>
              <w:rPr>
                <w:rFonts w:ascii="Calibri" w:hAnsi="Calibri"/>
                <w:color w:val="1F2937"/>
                <w:sz w:val="20"/>
              </w:rPr>
              <w:t>Communicatiematrix compleet (10 stakeholders)</w:t>
            </w:r>
          </w:p>
        </w:tc>
        <w:tc>
          <w:tcPr>
            <w:tcW w:type="dxa" w:w="2268"/>
            <w:shd w:fill="F8F9FA"/>
          </w:tcPr>
          <w:p>
            <w:r/>
            <w:r>
              <w:rPr>
                <w:rFonts w:ascii="Calibri" w:hAnsi="Calibri"/>
                <w:color w:val="1F2937"/>
                <w:sz w:val="20"/>
              </w:rPr>
              <w:t>Meta-Dossier §5</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5</w:t>
            </w:r>
          </w:p>
        </w:tc>
        <w:tc>
          <w:tcPr>
            <w:tcW w:type="dxa" w:w="3969"/>
          </w:tcPr>
          <w:p>
            <w:r/>
            <w:r>
              <w:rPr>
                <w:rFonts w:ascii="Calibri" w:hAnsi="Calibri"/>
                <w:color w:val="1F2937"/>
                <w:sz w:val="20"/>
              </w:rPr>
              <w:t>AVG-verplichting persoonsgegevens opgenomen</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6</w:t>
            </w:r>
          </w:p>
        </w:tc>
        <w:tc>
          <w:tcPr>
            <w:tcW w:type="dxa" w:w="3969"/>
            <w:shd w:fill="F8F9FA"/>
          </w:tcPr>
          <w:p>
            <w:r/>
            <w:r>
              <w:rPr>
                <w:rFonts w:ascii="Calibri" w:hAnsi="Calibri"/>
                <w:color w:val="1F2937"/>
                <w:sz w:val="20"/>
              </w:rPr>
              <w:t>Post-crisis procedures met termijnen gedefinieerd</w:t>
            </w:r>
          </w:p>
        </w:tc>
        <w:tc>
          <w:tcPr>
            <w:tcW w:type="dxa" w:w="2268"/>
            <w:shd w:fill="F8F9FA"/>
          </w:tcPr>
          <w:p>
            <w:r/>
            <w:r>
              <w:rPr>
                <w:rFonts w:ascii="Calibri" w:hAnsi="Calibri"/>
                <w:color w:val="1F2937"/>
                <w:sz w:val="20"/>
              </w:rPr>
              <w:t>Best practice</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7</w:t>
            </w:r>
          </w:p>
        </w:tc>
        <w:tc>
          <w:tcPr>
            <w:tcW w:type="dxa" w:w="3969"/>
          </w:tcPr>
          <w:p>
            <w:r/>
            <w:r>
              <w:rPr>
                <w:rFonts w:ascii="Calibri" w:hAnsi="Calibri"/>
                <w:color w:val="1F2937"/>
                <w:sz w:val="20"/>
              </w:rPr>
              <w:t>Bronverwijzingen in [N] notatie aanwezig</w:t>
            </w:r>
          </w:p>
        </w:tc>
        <w:tc>
          <w:tcPr>
            <w:tcW w:type="dxa" w:w="2268"/>
          </w:tcPr>
          <w:p>
            <w:r/>
            <w:r>
              <w:rPr>
                <w:rFonts w:ascii="Calibri" w:hAnsi="Calibri"/>
                <w:color w:val="1F2937"/>
                <w:sz w:val="20"/>
              </w:rPr>
              <w:t>STYLEGUIDE §1.8</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8</w:t>
            </w:r>
          </w:p>
        </w:tc>
        <w:tc>
          <w:tcPr>
            <w:tcW w:type="dxa" w:w="3969"/>
            <w:shd w:fill="F8F9FA"/>
          </w:tcPr>
          <w:p>
            <w:r/>
            <w:r>
              <w:rPr>
                <w:rFonts w:ascii="Calibri" w:hAnsi="Calibri"/>
                <w:color w:val="1F2937"/>
                <w:sz w:val="20"/>
              </w:rPr>
              <w:t>Documentheader conform STYLEGUIDE §2.1</w:t>
            </w:r>
          </w:p>
        </w:tc>
        <w:tc>
          <w:tcPr>
            <w:tcW w:type="dxa" w:w="2268"/>
            <w:shd w:fill="F8F9FA"/>
          </w:tcPr>
          <w:p>
            <w:r/>
            <w:r>
              <w:rPr>
                <w:rFonts w:ascii="Calibri" w:hAnsi="Calibri"/>
                <w:color w:val="1F2937"/>
                <w:sz w:val="20"/>
              </w:rPr>
              <w:t>STYLEGUIDE §2.1</w:t>
            </w:r>
          </w:p>
        </w:tc>
        <w:tc>
          <w:tcPr>
            <w:tcW w:type="dxa" w:w="1134"/>
            <w:shd w:fill="F8F9FA"/>
          </w:tcPr>
          <w:p>
            <w:r/>
            <w:r>
              <w:rPr>
                <w:rFonts w:ascii="Calibri" w:hAnsi="Calibri"/>
                <w:color w:val="1F2937"/>
                <w:sz w:val="20"/>
              </w:rPr>
              <w:t>✅ Pass</w:t>
            </w:r>
          </w:p>
        </w:tc>
      </w:tr>
      <w:tr>
        <w:tc>
          <w:tcPr>
            <w:tcW w:type="dxa" w:w="567"/>
          </w:tcPr>
          <w:p>
            <w:r/>
            <w:r>
              <w:rPr>
                <w:rFonts w:ascii="Calibri" w:hAnsi="Calibri"/>
                <w:color w:val="1F2937"/>
                <w:sz w:val="20"/>
              </w:rPr>
              <w:t>9</w:t>
            </w:r>
          </w:p>
        </w:tc>
        <w:tc>
          <w:tcPr>
            <w:tcW w:type="dxa" w:w="3969"/>
          </w:tcPr>
          <w:p>
            <w:r/>
            <w:r>
              <w:rPr>
                <w:rFonts w:ascii="Calibri" w:hAnsi="Calibri"/>
                <w:color w:val="1F2937"/>
                <w:sz w:val="20"/>
              </w:rPr>
              <w:t>Familiecommunicatieprotocol AVG-compliant</w:t>
            </w:r>
          </w:p>
        </w:tc>
        <w:tc>
          <w:tcPr>
            <w:tcW w:type="dxa" w:w="2268"/>
          </w:tcPr>
          <w:p>
            <w:r/>
            <w:r>
              <w:rPr>
                <w:rFonts w:ascii="Calibri" w:hAnsi="Calibri"/>
                <w:color w:val="1F2937"/>
                <w:sz w:val="20"/>
              </w:rPr>
              <w:t>AVG / GDPR</w:t>
            </w:r>
          </w:p>
        </w:tc>
        <w:tc>
          <w:tcPr>
            <w:tcW w:type="dxa" w:w="1134"/>
          </w:tcPr>
          <w:p>
            <w:r/>
            <w:r>
              <w:rPr>
                <w:rFonts w:ascii="Calibri" w:hAnsi="Calibri"/>
                <w:color w:val="1F2937"/>
                <w:sz w:val="20"/>
              </w:rPr>
              <w:t>✅ Pass</w:t>
            </w:r>
          </w:p>
        </w:tc>
      </w:tr>
      <w:tr>
        <w:tc>
          <w:tcPr>
            <w:tcW w:type="dxa" w:w="567"/>
            <w:shd w:fill="F8F9FA"/>
          </w:tcPr>
          <w:p>
            <w:r/>
            <w:r>
              <w:rPr>
                <w:rFonts w:ascii="Calibri" w:hAnsi="Calibri"/>
                <w:color w:val="1F2937"/>
                <w:sz w:val="20"/>
              </w:rPr>
              <w:t>10</w:t>
            </w:r>
          </w:p>
        </w:tc>
        <w:tc>
          <w:tcPr>
            <w:tcW w:type="dxa" w:w="3969"/>
            <w:shd w:fill="F8F9FA"/>
          </w:tcPr>
          <w:p>
            <w:r/>
            <w:r>
              <w:rPr>
                <w:rFonts w:ascii="Calibri" w:hAnsi="Calibri"/>
                <w:color w:val="1F2937"/>
                <w:sz w:val="20"/>
              </w:rPr>
              <w:t>Meldtermijnen autoriteiten conform wetgeving</w:t>
            </w:r>
          </w:p>
        </w:tc>
        <w:tc>
          <w:tcPr>
            <w:tcW w:type="dxa" w:w="2268"/>
            <w:shd w:fill="F8F9FA"/>
          </w:tcPr>
          <w:p>
            <w:r/>
            <w:r>
              <w:rPr>
                <w:rFonts w:ascii="Calibri" w:hAnsi="Calibri"/>
                <w:color w:val="1F2937"/>
                <w:sz w:val="20"/>
              </w:rPr>
              <w:t>BRZO / Wet rampen</w:t>
            </w:r>
          </w:p>
        </w:tc>
        <w:tc>
          <w:tcPr>
            <w:tcW w:type="dxa" w:w="1134"/>
            <w:shd w:fill="F8F9FA"/>
          </w:tcPr>
          <w:p>
            <w:r/>
            <w:r>
              <w:rPr>
                <w:rFonts w:ascii="Calibri" w:hAnsi="Calibri"/>
                <w:color w:val="1F2937"/>
                <w:sz w:val="20"/>
              </w:rPr>
              <w:t>✅ Pass</w:t>
            </w:r>
          </w:p>
        </w:tc>
      </w:tr>
    </w:tbl>
    <w:p/>
    <w:p>
      <w:r>
        <w:rPr>
          <w:b/>
          <w:color w:val="00A859"/>
        </w:rPr>
        <w:t>TierVerify Resultaat: 10/10 checks PASS — Document goedgekeurd voor release.</w:t>
      </w:r>
    </w:p>
    <w:p>
      <w:r>
        <w:rPr>
          <w:color w:val="6B7280"/>
          <w:sz w:val="18"/>
        </w:rPr>
        <w:t>Verifier: HQ_04 Technical Writer | Datum: 29 april 2026 | Versie: 1.0</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8"/>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