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br/>
      </w:r>
      <w:r>
        <w:br/>
      </w:r>
      <w:r>
        <w:br/>
      </w:r>
      <w:r>
        <w:br/>
      </w:r>
      <w:r>
        <w:drawing>
          <wp:inline xmlns:a="http://schemas.openxmlformats.org/drawingml/2006/main" xmlns:pic="http://schemas.openxmlformats.org/drawingml/2006/picture">
            <wp:extent cx="72000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jvg-logo-white-medium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2000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rFonts w:ascii="Calibri" w:hAnsi="Calibri"/>
          <w:b/>
          <w:color w:val="003366"/>
          <w:sz w:val="44"/>
        </w:rPr>
        <w:t>Phoenix Metals B.V.</w:t>
      </w:r>
    </w:p>
    <w:p>
      <w:pPr>
        <w:jc w:val="center"/>
      </w:pPr>
      <w:r>
        <w:rPr>
          <w:rFonts w:ascii="Calibri" w:hAnsi="Calibri"/>
          <w:b/>
          <w:color w:val="003366"/>
          <w:sz w:val="36"/>
        </w:rPr>
        <w:t>Bedrijfshulpverlening (BHV) Organisatie</w:t>
      </w:r>
    </w:p>
    <w:p>
      <w:pPr>
        <w:jc w:val="center"/>
      </w:pPr>
      <w:r>
        <w:rPr>
          <w:rFonts w:ascii="Calibri" w:hAnsi="Calibri"/>
          <w:color w:val="1F2937"/>
          <w:sz w:val="28"/>
        </w:rPr>
        <w:t>VBS Element 4 — Planning voor Noodsituaties | Document #3</w:t>
      </w:r>
    </w:p>
    <w:p>
      <w:pPr>
        <w:jc w:val="center"/>
      </w:pPr>
      <w:r>
        <w:rPr>
          <w:color w:val="1F2937"/>
          <w:sz w:val="24"/>
        </w:rPr>
        <w:br/>
        <w:br/>
        <w:t>Vanadiumproductie uit Staalslakken | IJmuiden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703"/>
        <w:gridCol w:w="4703"/>
      </w:tblGrid>
      <w:tr>
        <w:tc>
          <w:tcPr>
            <w:tcW w:type="dxa" w:w="2268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Project</w:t>
            </w:r>
          </w:p>
        </w:tc>
        <w:tc>
          <w:tcPr>
            <w:tcW w:type="dxa" w:w="5669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2026-PM-VBS-Element4</w:t>
            </w:r>
          </w:p>
        </w:tc>
      </w:tr>
      <w:tr>
        <w:tc>
          <w:tcPr>
            <w:tcW w:type="dxa" w:w="2268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Type</w:t>
            </w:r>
          </w:p>
        </w:tc>
        <w:tc>
          <w:tcPr>
            <w:tcW w:type="dxa" w:w="5669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Organisatie</w:t>
            </w:r>
          </w:p>
        </w:tc>
      </w:tr>
      <w:tr>
        <w:tc>
          <w:tcPr>
            <w:tcW w:type="dxa" w:w="2268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Auteur</w:t>
            </w:r>
          </w:p>
        </w:tc>
        <w:tc>
          <w:tcPr>
            <w:tcW w:type="dxa" w:w="5669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HQ_04 Technical Writer</w:t>
            </w:r>
          </w:p>
        </w:tc>
      </w:tr>
      <w:tr>
        <w:tc>
          <w:tcPr>
            <w:tcW w:type="dxa" w:w="2268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Versie</w:t>
            </w:r>
          </w:p>
        </w:tc>
        <w:tc>
          <w:tcPr>
            <w:tcW w:type="dxa" w:w="5669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1.0</w:t>
            </w:r>
          </w:p>
        </w:tc>
      </w:tr>
      <w:tr>
        <w:tc>
          <w:tcPr>
            <w:tcW w:type="dxa" w:w="2268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Datum</w:t>
            </w:r>
          </w:p>
        </w:tc>
        <w:tc>
          <w:tcPr>
            <w:tcW w:type="dxa" w:w="5669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29 april 2026</w:t>
            </w:r>
          </w:p>
        </w:tc>
      </w:tr>
      <w:tr>
        <w:tc>
          <w:tcPr>
            <w:tcW w:type="dxa" w:w="2268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Status</w:t>
            </w:r>
          </w:p>
        </w:tc>
        <w:tc>
          <w:tcPr>
            <w:tcW w:type="dxa" w:w="5669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Final</w:t>
            </w:r>
          </w:p>
        </w:tc>
      </w:tr>
    </w:tbl>
    <w:p>
      <w:r>
        <w:br w:type="page"/>
      </w:r>
    </w:p>
    <w:p>
      <w:pPr>
        <w:pStyle w:val="Heading1"/>
      </w:pPr>
      <w:r>
        <w:t>Documentbeheersing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881"/>
        <w:gridCol w:w="1881"/>
        <w:gridCol w:w="1881"/>
        <w:gridCol w:w="1881"/>
        <w:gridCol w:w="1881"/>
      </w:tblGrid>
      <w:tr>
        <w:tc>
          <w:tcPr>
            <w:tcW w:type="dxa" w:w="1881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Versie</w:t>
            </w:r>
          </w:p>
        </w:tc>
        <w:tc>
          <w:tcPr>
            <w:tcW w:type="dxa" w:w="1881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Datum</w:t>
            </w:r>
          </w:p>
        </w:tc>
        <w:tc>
          <w:tcPr>
            <w:tcW w:type="dxa" w:w="1881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Auteur</w:t>
            </w:r>
          </w:p>
        </w:tc>
        <w:tc>
          <w:tcPr>
            <w:tcW w:type="dxa" w:w="1881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Wijziging</w:t>
            </w:r>
          </w:p>
        </w:tc>
        <w:tc>
          <w:tcPr>
            <w:tcW w:type="dxa" w:w="1881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Goedkeuring</w:t>
            </w:r>
          </w:p>
        </w:tc>
      </w:tr>
      <w:tr>
        <w:tc>
          <w:tcPr>
            <w:tcW w:type="dxa" w:w="1881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1.0</w:t>
            </w:r>
          </w:p>
        </w:tc>
        <w:tc>
          <w:tcPr>
            <w:tcW w:type="dxa" w:w="1881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29-04-2026</w:t>
            </w:r>
          </w:p>
        </w:tc>
        <w:tc>
          <w:tcPr>
            <w:tcW w:type="dxa" w:w="1881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HQ_04 Technical Writer</w:t>
            </w:r>
          </w:p>
        </w:tc>
        <w:tc>
          <w:tcPr>
            <w:tcW w:type="dxa" w:w="1881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Initiële opstelling</w:t>
            </w:r>
          </w:p>
        </w:tc>
        <w:tc>
          <w:tcPr>
            <w:tcW w:type="dxa" w:w="1881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Jorick van Gemert</w:t>
            </w:r>
          </w:p>
        </w:tc>
      </w:tr>
    </w:tbl>
    <w:p>
      <w:pPr>
        <w:pStyle w:val="Heading1"/>
      </w:pPr>
      <w:r>
        <w:t>1. Doel en Scope</w:t>
      </w:r>
    </w:p>
    <w:p>
      <w:r>
        <w:t>Dit document beschrijft de organisatie en inzet van de Bedrijfshulpverlening (BHV) bij Phoenix Metals B.V., conform de Arbowet artikel 15 [1] en het BRZO 2015 artikel 11 [4]. De BHV fungeert als eerste lijn bij incidenten en waarborgt dat adequate eerste hulp, brandbestrijding en evacuatie direct beschikbaar zijn.</w:t>
      </w:r>
    </w:p>
    <w:p>
      <w:r>
        <w:t>Scope: alle medewerkers, contractors en bezoekers van de Phoenix Metals-locatie te IJmuiden.</w:t>
      </w:r>
    </w:p>
    <w:p>
      <w:pPr>
        <w:pStyle w:val="Heading1"/>
      </w:pPr>
      <w:r>
        <w:t>2. Wettelijk Kader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703"/>
        <w:gridCol w:w="4703"/>
      </w:tblGrid>
      <w:tr>
        <w:tc>
          <w:tcPr>
            <w:tcW w:type="dxa" w:w="4703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Bron</w:t>
            </w:r>
          </w:p>
        </w:tc>
        <w:tc>
          <w:tcPr>
            <w:tcW w:type="dxa" w:w="4703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Relevantie</w:t>
            </w:r>
          </w:p>
        </w:tc>
      </w:tr>
      <w:tr>
        <w:tc>
          <w:tcPr>
            <w:tcW w:type="dxa" w:w="4703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Arbowet art. 15 [1]</w:t>
            </w:r>
          </w:p>
        </w:tc>
        <w:tc>
          <w:tcPr>
            <w:tcW w:type="dxa" w:w="4703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Verplichting BHV-organisatie</w:t>
            </w:r>
          </w:p>
        </w:tc>
      </w:tr>
      <w:tr>
        <w:tc>
          <w:tcPr>
            <w:tcW w:type="dxa" w:w="4703"/>
            <w:shd w:fill="F0F4F8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Arbobesluit [2]</w:t>
            </w:r>
          </w:p>
        </w:tc>
        <w:tc>
          <w:tcPr>
            <w:tcW w:type="dxa" w:w="4703"/>
            <w:shd w:fill="F0F4F8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Uitvoeringsregels BHV, eerste hulp, evacuatie</w:t>
            </w:r>
          </w:p>
        </w:tc>
      </w:tr>
      <w:tr>
        <w:tc>
          <w:tcPr>
            <w:tcW w:type="dxa" w:w="4703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BRZO 2015 [4]</w:t>
            </w:r>
          </w:p>
        </w:tc>
        <w:tc>
          <w:tcPr>
            <w:tcW w:type="dxa" w:w="4703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Interne noodplanverplichting voor Seveso-inrichtingen</w:t>
            </w:r>
          </w:p>
        </w:tc>
      </w:tr>
      <w:tr>
        <w:tc>
          <w:tcPr>
            <w:tcW w:type="dxa" w:w="4703"/>
            <w:shd w:fill="F0F4F8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NEN 4000 / NEN 4000:2014 [3]</w:t>
            </w:r>
          </w:p>
        </w:tc>
        <w:tc>
          <w:tcPr>
            <w:tcW w:type="dxa" w:w="4703"/>
            <w:shd w:fill="F0F4F8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Norm voor BHV-opleiding en -certificering</w:t>
            </w:r>
          </w:p>
        </w:tc>
      </w:tr>
      <w:tr>
        <w:tc>
          <w:tcPr>
            <w:tcW w:type="dxa" w:w="4703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NTA 8620</w:t>
            </w:r>
          </w:p>
        </w:tc>
        <w:tc>
          <w:tcPr>
            <w:tcW w:type="dxa" w:w="4703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Beheersing veiligheid procesinstallaties</w:t>
            </w:r>
          </w:p>
        </w:tc>
      </w:tr>
    </w:tbl>
    <w:p>
      <w:pPr>
        <w:pStyle w:val="Heading1"/>
      </w:pPr>
      <w:r>
        <w:t>3. Definities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703"/>
        <w:gridCol w:w="4703"/>
      </w:tblGrid>
      <w:tr>
        <w:tc>
          <w:tcPr>
            <w:tcW w:type="dxa" w:w="4703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Term</w:t>
            </w:r>
          </w:p>
        </w:tc>
        <w:tc>
          <w:tcPr>
            <w:tcW w:type="dxa" w:w="4703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Definitie</w:t>
            </w:r>
          </w:p>
        </w:tc>
      </w:tr>
      <w:tr>
        <w:tc>
          <w:tcPr>
            <w:tcW w:type="dxa" w:w="4703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BHV</w:t>
            </w:r>
          </w:p>
        </w:tc>
        <w:tc>
          <w:tcPr>
            <w:tcW w:type="dxa" w:w="4703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Bedrijfshulpverlening — georganiseerde eerste hulp, brandbestrijding en evacuatie</w:t>
            </w:r>
          </w:p>
        </w:tc>
      </w:tr>
      <w:tr>
        <w:tc>
          <w:tcPr>
            <w:tcW w:type="dxa" w:w="4703"/>
            <w:shd w:fill="F0F4F8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Eerste Hulp</w:t>
            </w:r>
          </w:p>
        </w:tc>
        <w:tc>
          <w:tcPr>
            <w:tcW w:type="dxa" w:w="4703"/>
            <w:shd w:fill="F0F4F8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Initiële medische hulp bij ongevallen, uitgevoerd door getraind personeel</w:t>
            </w:r>
          </w:p>
        </w:tc>
      </w:tr>
      <w:tr>
        <w:tc>
          <w:tcPr>
            <w:tcW w:type="dxa" w:w="4703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Brandbestrijding</w:t>
            </w:r>
          </w:p>
        </w:tc>
        <w:tc>
          <w:tcPr>
            <w:tcW w:type="dxa" w:w="4703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Bestrijding van beginnende brand door BHV-ers met beschikbare middelen</w:t>
            </w:r>
          </w:p>
        </w:tc>
      </w:tr>
      <w:tr>
        <w:tc>
          <w:tcPr>
            <w:tcW w:type="dxa" w:w="4703"/>
            <w:shd w:fill="F0F4F8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Evacuatie</w:t>
            </w:r>
          </w:p>
        </w:tc>
        <w:tc>
          <w:tcPr>
            <w:tcW w:type="dxa" w:w="4703"/>
            <w:shd w:fill="F0F4F8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Geordende ontruiming van (delen van) de locatie naar verzamelpunt</w:t>
            </w:r>
          </w:p>
        </w:tc>
      </w:tr>
      <w:tr>
        <w:tc>
          <w:tcPr>
            <w:tcW w:type="dxa" w:w="4703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Communicatie</w:t>
            </w:r>
          </w:p>
        </w:tc>
        <w:tc>
          <w:tcPr>
            <w:tcW w:type="dxa" w:w="4703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Alarmering van hulpdiensten en interne doorgeleiding van informatie</w:t>
            </w:r>
          </w:p>
        </w:tc>
      </w:tr>
      <w:tr>
        <w:tc>
          <w:tcPr>
            <w:tcW w:type="dxa" w:w="4703"/>
            <w:shd w:fill="F0F4F8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Triage</w:t>
            </w:r>
          </w:p>
        </w:tc>
        <w:tc>
          <w:tcPr>
            <w:tcW w:type="dxa" w:w="4703"/>
            <w:shd w:fill="F0F4F8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Sortering van slachtoffers naar ernst en prioriteit van behandeling</w:t>
            </w:r>
          </w:p>
        </w:tc>
      </w:tr>
    </w:tbl>
    <w:p>
      <w:pPr>
        <w:pStyle w:val="Heading1"/>
      </w:pPr>
      <w:r>
        <w:t>4. BHV Organisatiestructuur</w:t>
      </w:r>
    </w:p>
    <w:p>
      <w:r>
        <w:t>De BHV-organisatie van Phoenix Metals kent vier functieniveaus. De BHV-coördinator stuurt het BHV-team aan en rapporteert aan de crisisleider (Operations Manager).</w:t>
      </w:r>
    </w:p>
    <w:p>
      <w:pPr>
        <w:pStyle w:val="Heading2"/>
      </w:pPr>
      <w:r>
        <w:t>4.1 BHV-Coördinator (HSEQ Manager)</w:t>
      </w:r>
    </w:p>
    <w:p>
      <w:pPr>
        <w:pStyle w:val="ListBullet"/>
      </w:pPr>
      <w:r>
        <w:t>Coördinatie en aansturing van het BHV-team</w:t>
      </w:r>
    </w:p>
    <w:p>
      <w:pPr>
        <w:pStyle w:val="ListBullet"/>
      </w:pPr>
      <w:r>
        <w:t>Onderhoud BHV-middelen en -procedures</w:t>
      </w:r>
    </w:p>
    <w:p>
      <w:pPr>
        <w:pStyle w:val="ListBullet"/>
      </w:pPr>
      <w:r>
        <w:t>Organisatie oefeningen en trainingen (4x per jaar)</w:t>
      </w:r>
    </w:p>
    <w:p>
      <w:pPr>
        <w:pStyle w:val="ListBullet"/>
      </w:pPr>
      <w:r>
        <w:t>Contactpersoon voor externe hulpdiensten</w:t>
      </w:r>
    </w:p>
    <w:p>
      <w:pPr>
        <w:pStyle w:val="ListBullet"/>
      </w:pPr>
      <w:r>
        <w:t>Verplichte opleiding: BHV leidinggevende + NEN 4000</w:t>
      </w:r>
    </w:p>
    <w:p>
      <w:pPr>
        <w:pStyle w:val="ListBullet"/>
      </w:pPr>
      <w:r>
        <w:t>Hercertificering: jaarlijks</w:t>
      </w:r>
    </w:p>
    <w:p>
      <w:pPr>
        <w:pStyle w:val="Heading2"/>
      </w:pPr>
      <w:r>
        <w:t>4.2 BHV-ers per Shift (minimaal 2 per shift)</w:t>
      </w:r>
    </w:p>
    <w:p>
      <w:pPr>
        <w:pStyle w:val="ListBullet"/>
      </w:pPr>
      <w:r>
        <w:t>Eerste hulp bij ongevallen</w:t>
      </w:r>
    </w:p>
    <w:p>
      <w:pPr>
        <w:pStyle w:val="ListBullet"/>
      </w:pPr>
      <w:r>
        <w:t>Beginnende brandbestrijding</w:t>
      </w:r>
    </w:p>
    <w:p>
      <w:pPr>
        <w:pStyle w:val="ListBullet"/>
      </w:pPr>
      <w:r>
        <w:t>Begeleiding evacuatie</w:t>
      </w:r>
    </w:p>
    <w:p>
      <w:pPr>
        <w:pStyle w:val="ListBullet"/>
      </w:pPr>
      <w:r>
        <w:t>Alarmering hulpdiensten</w:t>
      </w:r>
    </w:p>
    <w:p>
      <w:pPr>
        <w:pStyle w:val="ListBullet"/>
      </w:pPr>
      <w:r>
        <w:t>Verplichte opleiding: BHV basis (2 dagen) + chemie-specifieke module (1 dag)</w:t>
      </w:r>
    </w:p>
    <w:p>
      <w:pPr>
        <w:pStyle w:val="ListBullet"/>
      </w:pPr>
      <w:r>
        <w:t>Hercertificering: 2-jaarlijks, jaarlijkse refresher</w:t>
      </w:r>
    </w:p>
    <w:p>
      <w:pPr>
        <w:pStyle w:val="Heading2"/>
      </w:pPr>
      <w:r>
        <w:t>4.3 EHBO-ers</w:t>
      </w:r>
    </w:p>
    <w:p>
      <w:pPr>
        <w:pStyle w:val="ListBullet"/>
      </w:pPr>
      <w:r>
        <w:t>Eerste hulp en levensreddend handelen (inclusief AED)</w:t>
      </w:r>
    </w:p>
    <w:p>
      <w:pPr>
        <w:pStyle w:val="ListBullet"/>
      </w:pPr>
      <w:r>
        <w:t>Triagesupport bij meervoudige slachtoffers</w:t>
      </w:r>
    </w:p>
    <w:p>
      <w:pPr>
        <w:pStyle w:val="ListBullet"/>
      </w:pPr>
      <w:r>
        <w:t>Verplichte opleiding: EHBO + reanimatie/AED</w:t>
      </w:r>
    </w:p>
    <w:p>
      <w:pPr>
        <w:pStyle w:val="ListBullet"/>
      </w:pPr>
      <w:r>
        <w:t>Hercertificering: 2-jaarlijks, jaarlijkse refresher</w:t>
      </w:r>
    </w:p>
    <w:p>
      <w:pPr>
        <w:pStyle w:val="Heading2"/>
      </w:pPr>
      <w:r>
        <w:t>4.4 Brandwacht</w:t>
      </w:r>
    </w:p>
    <w:p>
      <w:pPr>
        <w:pStyle w:val="ListBullet"/>
      </w:pPr>
      <w:r>
        <w:t>Brandpreventie en brandbestrijding (beginnende brand)</w:t>
      </w:r>
    </w:p>
    <w:p>
      <w:pPr>
        <w:pStyle w:val="ListBullet"/>
      </w:pPr>
      <w:r>
        <w:t>Toezicht bij heet werk en brandgevaarlijke werkzaamheden</w:t>
      </w:r>
    </w:p>
    <w:p>
      <w:pPr>
        <w:pStyle w:val="ListBullet"/>
      </w:pPr>
      <w:r>
        <w:t>Verplichte opleiding: Brandbestrijding + heet werk</w:t>
      </w:r>
    </w:p>
    <w:p>
      <w:pPr>
        <w:pStyle w:val="ListBullet"/>
      </w:pPr>
      <w:r>
        <w:t>Hercertificering: jaarlijks, halfjaarlijkse refresher</w:t>
      </w:r>
    </w:p>
    <w:p>
      <w:pPr>
        <w:pStyle w:val="Heading1"/>
      </w:pPr>
      <w:r>
        <w:t>5. BHV Team Samenstelling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881"/>
        <w:gridCol w:w="1881"/>
        <w:gridCol w:w="1881"/>
        <w:gridCol w:w="1881"/>
        <w:gridCol w:w="1881"/>
      </w:tblGrid>
      <w:tr>
        <w:tc>
          <w:tcPr>
            <w:tcW w:type="dxa" w:w="1881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Rol</w:t>
            </w:r>
          </w:p>
        </w:tc>
        <w:tc>
          <w:tcPr>
            <w:tcW w:type="dxa" w:w="1881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Aantal</w:t>
            </w:r>
          </w:p>
        </w:tc>
        <w:tc>
          <w:tcPr>
            <w:tcW w:type="dxa" w:w="1881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Training</w:t>
            </w:r>
          </w:p>
        </w:tc>
        <w:tc>
          <w:tcPr>
            <w:tcW w:type="dxa" w:w="1881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Certificering</w:t>
            </w:r>
          </w:p>
        </w:tc>
        <w:tc>
          <w:tcPr>
            <w:tcW w:type="dxa" w:w="1881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Herhaling</w:t>
            </w:r>
          </w:p>
        </w:tc>
      </w:tr>
      <w:tr>
        <w:tc>
          <w:tcPr>
            <w:tcW w:type="dxa" w:w="1881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BHV-coördinator</w:t>
            </w:r>
          </w:p>
        </w:tc>
        <w:tc>
          <w:tcPr>
            <w:tcW w:type="dxa" w:w="1881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1</w:t>
            </w:r>
          </w:p>
        </w:tc>
        <w:tc>
          <w:tcPr>
            <w:tcW w:type="dxa" w:w="1881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BHV leidinggevende + NEN 4000</w:t>
            </w:r>
          </w:p>
        </w:tc>
        <w:tc>
          <w:tcPr>
            <w:tcW w:type="dxa" w:w="1881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Jaarlijks</w:t>
            </w:r>
          </w:p>
        </w:tc>
        <w:tc>
          <w:tcPr>
            <w:tcW w:type="dxa" w:w="1881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Jaarlijks</w:t>
            </w:r>
          </w:p>
        </w:tc>
      </w:tr>
      <w:tr>
        <w:tc>
          <w:tcPr>
            <w:tcW w:type="dxa" w:w="1881"/>
            <w:shd w:fill="F0F4F8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BHV-er (basis)</w:t>
            </w:r>
          </w:p>
        </w:tc>
        <w:tc>
          <w:tcPr>
            <w:tcW w:type="dxa" w:w="1881"/>
            <w:shd w:fill="F0F4F8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6 (2 per shift)</w:t>
            </w:r>
          </w:p>
        </w:tc>
        <w:tc>
          <w:tcPr>
            <w:tcW w:type="dxa" w:w="1881"/>
            <w:shd w:fill="F0F4F8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BHV basis + chemie specifiek</w:t>
            </w:r>
          </w:p>
        </w:tc>
        <w:tc>
          <w:tcPr>
            <w:tcW w:type="dxa" w:w="1881"/>
            <w:shd w:fill="F0F4F8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2-jaarlijks</w:t>
            </w:r>
          </w:p>
        </w:tc>
        <w:tc>
          <w:tcPr>
            <w:tcW w:type="dxa" w:w="1881"/>
            <w:shd w:fill="F0F4F8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Jaarlijks refresher</w:t>
            </w:r>
          </w:p>
        </w:tc>
      </w:tr>
      <w:tr>
        <w:tc>
          <w:tcPr>
            <w:tcW w:type="dxa" w:w="1881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EHBO-er</w:t>
            </w:r>
          </w:p>
        </w:tc>
        <w:tc>
          <w:tcPr>
            <w:tcW w:type="dxa" w:w="1881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4</w:t>
            </w:r>
          </w:p>
        </w:tc>
        <w:tc>
          <w:tcPr>
            <w:tcW w:type="dxa" w:w="1881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EHBO + reanimatie (AED)</w:t>
            </w:r>
          </w:p>
        </w:tc>
        <w:tc>
          <w:tcPr>
            <w:tcW w:type="dxa" w:w="1881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2-jaarlijks</w:t>
            </w:r>
          </w:p>
        </w:tc>
        <w:tc>
          <w:tcPr>
            <w:tcW w:type="dxa" w:w="1881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Jaarlijks</w:t>
            </w:r>
          </w:p>
        </w:tc>
      </w:tr>
      <w:tr>
        <w:tc>
          <w:tcPr>
            <w:tcW w:type="dxa" w:w="1881"/>
            <w:shd w:fill="F0F4F8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Brandwacht</w:t>
            </w:r>
          </w:p>
        </w:tc>
        <w:tc>
          <w:tcPr>
            <w:tcW w:type="dxa" w:w="1881"/>
            <w:shd w:fill="F0F4F8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3</w:t>
            </w:r>
          </w:p>
        </w:tc>
        <w:tc>
          <w:tcPr>
            <w:tcW w:type="dxa" w:w="1881"/>
            <w:shd w:fill="F0F4F8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Brandbestrijding + heet werk</w:t>
            </w:r>
          </w:p>
        </w:tc>
        <w:tc>
          <w:tcPr>
            <w:tcW w:type="dxa" w:w="1881"/>
            <w:shd w:fill="F0F4F8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Jaarlijks</w:t>
            </w:r>
          </w:p>
        </w:tc>
        <w:tc>
          <w:tcPr>
            <w:tcW w:type="dxa" w:w="1881"/>
            <w:shd w:fill="F0F4F8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Halfjaarlijks</w:t>
            </w:r>
          </w:p>
        </w:tc>
      </w:tr>
    </w:tbl>
    <w:p>
      <w:pPr>
        <w:pStyle w:val="Heading1"/>
      </w:pPr>
      <w:r>
        <w:t>6. Taken en Bevoegdheden per BHV-rol</w:t>
      </w:r>
    </w:p>
    <w:p>
      <w:r>
        <w:t>BHV-ers zijn bevoegd en verplicht tot de volgende handelingen:</w:t>
      </w:r>
    </w:p>
    <w:p>
      <w:pPr>
        <w:pStyle w:val="ListBullet"/>
      </w:pPr>
      <w:r>
        <w:t>Eerste hulp bij ongevallen (EHBO, AED, stabilisatie)</w:t>
      </w:r>
    </w:p>
    <w:p>
      <w:pPr>
        <w:pStyle w:val="ListBullet"/>
      </w:pPr>
      <w:r>
        <w:t>Brandbestrijding van beginnende brand met beschikbare middelen</w:t>
      </w:r>
    </w:p>
    <w:p>
      <w:pPr>
        <w:pStyle w:val="ListBullet"/>
      </w:pPr>
      <w:r>
        <w:t>Evacuatie-begeleiding naar aangewezen verzamelpunt</w:t>
      </w:r>
    </w:p>
    <w:p>
      <w:pPr>
        <w:pStyle w:val="ListBullet"/>
      </w:pPr>
      <w:r>
        <w:t>Alarmering van hulpdiensten (112) en interne communicatie</w:t>
      </w:r>
    </w:p>
    <w:p>
      <w:pPr>
        <w:pStyle w:val="ListBullet"/>
      </w:pPr>
      <w:r>
        <w:t>Telling van personeel op verzamelpunt</w:t>
      </w:r>
    </w:p>
    <w:p>
      <w:pPr>
        <w:pStyle w:val="ListBullet"/>
      </w:pPr>
      <w:r>
        <w:t>Communicatie naar crisisleider over situatie en slachtoffers</w:t>
      </w:r>
    </w:p>
    <w:p>
      <w:r>
        <w:rPr>
          <w:b/>
          <w:color w:val="CC0000"/>
        </w:rPr>
        <w:t>Expliciete beperkingen — NIET toegestaan:</w:t>
      </w:r>
    </w:p>
    <w:p>
      <w:pPr>
        <w:pStyle w:val="ListBullet"/>
      </w:pPr>
      <w:r>
        <w:t>Heldenwerk of zelf opgezochte risico's</w:t>
      </w:r>
    </w:p>
    <w:p>
      <w:pPr>
        <w:pStyle w:val="ListBullet"/>
      </w:pPr>
      <w:r>
        <w:t>Zware brandbestrijding (overlaten aan brandweer)</w:t>
      </w:r>
    </w:p>
    <w:p>
      <w:pPr>
        <w:pStyle w:val="ListBullet"/>
      </w:pPr>
      <w:r>
        <w:t>Betrederen van onveilige zones zonder bescherming</w:t>
      </w:r>
    </w:p>
    <w:p>
      <w:pPr>
        <w:pStyle w:val="ListBullet"/>
      </w:pPr>
      <w:r>
        <w:t>Medische handelingen buiten EHBO-competentie</w:t>
      </w:r>
    </w:p>
    <w:p>
      <w:pPr>
        <w:pStyle w:val="Heading1"/>
      </w:pPr>
      <w:r>
        <w:t>7. BHV Middelen — Inventaris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Middel</w:t>
            </w:r>
          </w:p>
        </w:tc>
        <w:tc>
          <w:tcPr>
            <w:tcW w:type="dxa" w:w="2351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Locatie</w:t>
            </w:r>
          </w:p>
        </w:tc>
        <w:tc>
          <w:tcPr>
            <w:tcW w:type="dxa" w:w="2351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Aantal</w:t>
            </w:r>
          </w:p>
        </w:tc>
        <w:tc>
          <w:tcPr>
            <w:tcW w:type="dxa" w:w="2351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Keuringsfrequentie</w:t>
            </w:r>
          </w:p>
        </w:tc>
      </w:tr>
      <w:tr>
        <w:tc>
          <w:tcPr>
            <w:tcW w:type="dxa" w:w="2351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EHBO-kit type A+B</w:t>
            </w:r>
          </w:p>
        </w:tc>
        <w:tc>
          <w:tcPr>
            <w:tcW w:type="dxa" w:w="2351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Kantoor + procesvloer</w:t>
            </w:r>
          </w:p>
        </w:tc>
        <w:tc>
          <w:tcPr>
            <w:tcW w:type="dxa" w:w="2351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3</w:t>
            </w:r>
          </w:p>
        </w:tc>
        <w:tc>
          <w:tcPr>
            <w:tcW w:type="dxa" w:w="2351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Jaarlijks</w:t>
            </w:r>
          </w:p>
        </w:tc>
      </w:tr>
      <w:tr>
        <w:tc>
          <w:tcPr>
            <w:tcW w:type="dxa" w:w="2351"/>
            <w:shd w:fill="F0F4F8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AED</w:t>
            </w:r>
          </w:p>
        </w:tc>
        <w:tc>
          <w:tcPr>
            <w:tcW w:type="dxa" w:w="2351"/>
            <w:shd w:fill="F0F4F8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Kantoor ingang</w:t>
            </w:r>
          </w:p>
        </w:tc>
        <w:tc>
          <w:tcPr>
            <w:tcW w:type="dxa" w:w="2351"/>
            <w:shd w:fill="F0F4F8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1</w:t>
            </w:r>
          </w:p>
        </w:tc>
        <w:tc>
          <w:tcPr>
            <w:tcW w:type="dxa" w:w="2351"/>
            <w:shd w:fill="F0F4F8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Maandelijks check</w:t>
            </w:r>
          </w:p>
        </w:tc>
      </w:tr>
      <w:tr>
        <w:tc>
          <w:tcPr>
            <w:tcW w:type="dxa" w:w="2351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Brandblusser poeder 6 kg</w:t>
            </w:r>
          </w:p>
        </w:tc>
        <w:tc>
          <w:tcPr>
            <w:tcW w:type="dxa" w:w="2351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Elke 20 m</w:t>
            </w:r>
          </w:p>
        </w:tc>
        <w:tc>
          <w:tcPr>
            <w:tcW w:type="dxa" w:w="2351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12</w:t>
            </w:r>
          </w:p>
        </w:tc>
        <w:tc>
          <w:tcPr>
            <w:tcW w:type="dxa" w:w="2351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Jaarlijks</w:t>
            </w:r>
          </w:p>
        </w:tc>
      </w:tr>
      <w:tr>
        <w:tc>
          <w:tcPr>
            <w:tcW w:type="dxa" w:w="2351"/>
            <w:shd w:fill="F0F4F8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Brandblusser CO₂ 5 kg</w:t>
            </w:r>
          </w:p>
        </w:tc>
        <w:tc>
          <w:tcPr>
            <w:tcW w:type="dxa" w:w="2351"/>
            <w:shd w:fill="F0F4F8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Elektrische ruimtes</w:t>
            </w:r>
          </w:p>
        </w:tc>
        <w:tc>
          <w:tcPr>
            <w:tcW w:type="dxa" w:w="2351"/>
            <w:shd w:fill="F0F4F8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4</w:t>
            </w:r>
          </w:p>
        </w:tc>
        <w:tc>
          <w:tcPr>
            <w:tcW w:type="dxa" w:w="2351"/>
            <w:shd w:fill="F0F4F8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Jaarlijks</w:t>
            </w:r>
          </w:p>
        </w:tc>
      </w:tr>
      <w:tr>
        <w:tc>
          <w:tcPr>
            <w:tcW w:type="dxa" w:w="2351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Brandhaspel</w:t>
            </w:r>
          </w:p>
        </w:tc>
        <w:tc>
          <w:tcPr>
            <w:tcW w:type="dxa" w:w="2351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Procesgebied</w:t>
            </w:r>
          </w:p>
        </w:tc>
        <w:tc>
          <w:tcPr>
            <w:tcW w:type="dxa" w:w="2351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4</w:t>
            </w:r>
          </w:p>
        </w:tc>
        <w:tc>
          <w:tcPr>
            <w:tcW w:type="dxa" w:w="2351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Jaarlijks</w:t>
            </w:r>
          </w:p>
        </w:tc>
      </w:tr>
      <w:tr>
        <w:tc>
          <w:tcPr>
            <w:tcW w:type="dxa" w:w="2351"/>
            <w:shd w:fill="F0F4F8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Ongevallendouche</w:t>
            </w:r>
          </w:p>
        </w:tc>
        <w:tc>
          <w:tcPr>
            <w:tcW w:type="dxa" w:w="2351"/>
            <w:shd w:fill="F0F4F8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Procesvloer (H₂SO₄)</w:t>
            </w:r>
          </w:p>
        </w:tc>
        <w:tc>
          <w:tcPr>
            <w:tcW w:type="dxa" w:w="2351"/>
            <w:shd w:fill="F0F4F8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3</w:t>
            </w:r>
          </w:p>
        </w:tc>
        <w:tc>
          <w:tcPr>
            <w:tcW w:type="dxa" w:w="2351"/>
            <w:shd w:fill="F0F4F8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Wekelijks</w:t>
            </w:r>
          </w:p>
        </w:tc>
      </w:tr>
      <w:tr>
        <w:tc>
          <w:tcPr>
            <w:tcW w:type="dxa" w:w="2351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Oogdouche</w:t>
            </w:r>
          </w:p>
        </w:tc>
        <w:tc>
          <w:tcPr>
            <w:tcW w:type="dxa" w:w="2351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Procesvloer + lab</w:t>
            </w:r>
          </w:p>
        </w:tc>
        <w:tc>
          <w:tcPr>
            <w:tcW w:type="dxa" w:w="2351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4</w:t>
            </w:r>
          </w:p>
        </w:tc>
        <w:tc>
          <w:tcPr>
            <w:tcW w:type="dxa" w:w="2351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Wekelijks</w:t>
            </w:r>
          </w:p>
        </w:tc>
      </w:tr>
      <w:tr>
        <w:tc>
          <w:tcPr>
            <w:tcW w:type="dxa" w:w="2351"/>
            <w:shd w:fill="F0F4F8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Draagbaar gasmeetapparaat</w:t>
            </w:r>
          </w:p>
        </w:tc>
        <w:tc>
          <w:tcPr>
            <w:tcW w:type="dxa" w:w="2351"/>
            <w:shd w:fill="F0F4F8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BHV-kast</w:t>
            </w:r>
          </w:p>
        </w:tc>
        <w:tc>
          <w:tcPr>
            <w:tcW w:type="dxa" w:w="2351"/>
            <w:shd w:fill="F0F4F8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3</w:t>
            </w:r>
          </w:p>
        </w:tc>
        <w:tc>
          <w:tcPr>
            <w:tcW w:type="dxa" w:w="2351"/>
            <w:shd w:fill="F0F4F8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Maandelijks kalibratie</w:t>
            </w:r>
          </w:p>
        </w:tc>
      </w:tr>
      <w:tr>
        <w:tc>
          <w:tcPr>
            <w:tcW w:type="dxa" w:w="2351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BHV communication set (radio's)</w:t>
            </w:r>
          </w:p>
        </w:tc>
        <w:tc>
          <w:tcPr>
            <w:tcW w:type="dxa" w:w="2351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BHV-kast</w:t>
            </w:r>
          </w:p>
        </w:tc>
        <w:tc>
          <w:tcPr>
            <w:tcW w:type="dxa" w:w="2351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6</w:t>
            </w:r>
          </w:p>
        </w:tc>
        <w:tc>
          <w:tcPr>
            <w:tcW w:type="dxa" w:w="2351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Dagelijks check</w:t>
            </w:r>
          </w:p>
        </w:tc>
      </w:tr>
    </w:tbl>
    <w:p>
      <w:pPr>
        <w:pStyle w:val="Heading1"/>
      </w:pPr>
      <w:r>
        <w:t>8. BHV Inzetprotocol</w:t>
      </w:r>
    </w:p>
    <w:p>
      <w:r>
        <w:t>Bij een incident wordt het volgende fasenprotocol doorlopen. Elke fase kent vaste acties en verantwoordelijkheden.</w:t>
      </w:r>
    </w:p>
    <w:p>
      <w:pPr>
        <w:pStyle w:val="Heading2"/>
      </w:pPr>
      <w:r>
        <w:t>Fase 1 — Initieel (0–5 minuten)</w:t>
      </w:r>
    </w:p>
    <w:p>
      <w:pPr>
        <w:pStyle w:val="ListBullet"/>
      </w:pPr>
      <w:r>
        <w:t>BHV-er ter plaatse — situatie-inschatting</w:t>
      </w:r>
    </w:p>
    <w:p>
      <w:pPr>
        <w:pStyle w:val="ListBullet"/>
      </w:pPr>
      <w:r>
        <w:t>Eerste hulp verlenen aan slachtoffers</w:t>
      </w:r>
    </w:p>
    <w:p>
      <w:pPr>
        <w:pStyle w:val="ListBullet"/>
      </w:pPr>
      <w:r>
        <w:t>Alarmering intern (BHV-coördinator) en extern (112 indien nodig)</w:t>
      </w:r>
    </w:p>
    <w:p>
      <w:pPr>
        <w:pStyle w:val="ListBullet"/>
      </w:pPr>
      <w:r>
        <w:t>Afbakening incidentgebied</w:t>
      </w:r>
    </w:p>
    <w:p>
      <w:pPr>
        <w:pStyle w:val="Heading2"/>
      </w:pPr>
      <w:r>
        <w:t>Fase 2 — Opbouw (5–15 minuten)</w:t>
      </w:r>
    </w:p>
    <w:p>
      <w:pPr>
        <w:pStyle w:val="ListBullet"/>
      </w:pPr>
      <w:r>
        <w:t>Volledig BHV-team gemobiliseerd</w:t>
      </w:r>
    </w:p>
    <w:p>
      <w:pPr>
        <w:pStyle w:val="ListBullet"/>
      </w:pPr>
      <w:r>
        <w:t>BHV-middelen ingezet (blusmiddelen, EHBO-materiaal)</w:t>
      </w:r>
    </w:p>
    <w:p>
      <w:pPr>
        <w:pStyle w:val="ListBullet"/>
      </w:pPr>
      <w:r>
        <w:t>Evacuatie gestart indien nodig</w:t>
      </w:r>
    </w:p>
    <w:p>
      <w:pPr>
        <w:pStyle w:val="ListBullet"/>
      </w:pPr>
      <w:r>
        <w:t>Communicatie naar crisisleider en omgeving</w:t>
      </w:r>
    </w:p>
    <w:p>
      <w:pPr>
        <w:pStyle w:val="Heading2"/>
      </w:pPr>
      <w:r>
        <w:t>Fase 3 — Overdracht (15–30 minuten)</w:t>
      </w:r>
    </w:p>
    <w:p>
      <w:pPr>
        <w:pStyle w:val="ListBullet"/>
      </w:pPr>
      <w:r>
        <w:t>Externe hulpdiensten arriveren — formele overdracht</w:t>
      </w:r>
    </w:p>
    <w:p>
      <w:pPr>
        <w:pStyle w:val="ListBullet"/>
      </w:pPr>
      <w:r>
        <w:t>BHV-coördinator brieft brandweer/ambulance</w:t>
      </w:r>
    </w:p>
    <w:p>
      <w:pPr>
        <w:pStyle w:val="ListBullet"/>
      </w:pPr>
      <w:r>
        <w:t>Telling op verzamelpunt voltooid</w:t>
      </w:r>
    </w:p>
    <w:p>
      <w:pPr>
        <w:pStyle w:val="ListBullet"/>
      </w:pPr>
      <w:r>
        <w:t>Logboek bijgehouden</w:t>
      </w:r>
    </w:p>
    <w:p>
      <w:pPr>
        <w:pStyle w:val="Heading2"/>
      </w:pPr>
      <w:r>
        <w:t>Fase 4 — Ondersteuning (&gt;30 minuten)</w:t>
      </w:r>
    </w:p>
    <w:p>
      <w:pPr>
        <w:pStyle w:val="ListBullet"/>
      </w:pPr>
      <w:r>
        <w:t>BHV-team ondersteunt hulpdiensten logistiek en informatief</w:t>
      </w:r>
    </w:p>
    <w:p>
      <w:pPr>
        <w:pStyle w:val="ListBullet"/>
      </w:pPr>
      <w:r>
        <w:t>Verzorging ontruimden</w:t>
      </w:r>
    </w:p>
    <w:p>
      <w:pPr>
        <w:pStyle w:val="ListBullet"/>
      </w:pPr>
      <w:r>
        <w:t>Bewaking periferie locatie</w:t>
      </w:r>
    </w:p>
    <w:p>
      <w:pPr>
        <w:pStyle w:val="ListBullet"/>
      </w:pPr>
      <w:r>
        <w:t>Na-incident evaluatie voorbereiding</w:t>
      </w:r>
    </w:p>
    <w:p>
      <w:pPr>
        <w:pStyle w:val="Heading1"/>
      </w:pPr>
      <w:r>
        <w:t>9. Chemie-Specifieke BHV Procedures</w:t>
      </w:r>
    </w:p>
    <w:p>
      <w:r>
        <w:t>Gezien de aanwezigheid van H₂SO₄, NaOH en V₂O₅ gelden de volgende stofspecifieke eerste-hulpprocedures.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Stof</w:t>
            </w:r>
          </w:p>
        </w:tc>
        <w:tc>
          <w:tcPr>
            <w:tcW w:type="dxa" w:w="3135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Blootstelling</w:t>
            </w:r>
          </w:p>
        </w:tc>
        <w:tc>
          <w:tcPr>
            <w:tcW w:type="dxa" w:w="3135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Eerste Hulp Actie</w:t>
            </w:r>
          </w:p>
        </w:tc>
      </w:tr>
      <w:tr>
        <w:tc>
          <w:tcPr>
            <w:tcW w:type="dxa" w:w="3135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H₂SO₄ (96%)</w:t>
            </w:r>
          </w:p>
        </w:tc>
        <w:tc>
          <w:tcPr>
            <w:tcW w:type="dxa" w:w="3135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Huid-/oogcontact</w:t>
            </w:r>
          </w:p>
        </w:tc>
        <w:tc>
          <w:tcPr>
            <w:tcW w:type="dxa" w:w="3135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Minimaal 15 minuten spoelen met water, ontkleden, onmiddellijk arts raadplegen [5]</w:t>
            </w:r>
          </w:p>
        </w:tc>
      </w:tr>
      <w:tr>
        <w:tc>
          <w:tcPr>
            <w:tcW w:type="dxa" w:w="3135"/>
            <w:shd w:fill="F0F4F8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V₂O₅ (poeder)</w:t>
            </w:r>
          </w:p>
        </w:tc>
        <w:tc>
          <w:tcPr>
            <w:tcW w:type="dxa" w:w="3135"/>
            <w:shd w:fill="F0F4F8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Inademing</w:t>
            </w:r>
          </w:p>
        </w:tc>
        <w:tc>
          <w:tcPr>
            <w:tcW w:type="dxa" w:w="3135"/>
            <w:shd w:fill="F0F4F8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Slachtoffer naar frisse lucht, bij symptomen (hoesten, benauwdheid) direct 112 bellen [5]</w:t>
            </w:r>
          </w:p>
        </w:tc>
      </w:tr>
      <w:tr>
        <w:tc>
          <w:tcPr>
            <w:tcW w:type="dxa" w:w="3135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NaOH (50%)</w:t>
            </w:r>
          </w:p>
        </w:tc>
        <w:tc>
          <w:tcPr>
            <w:tcW w:type="dxa" w:w="3135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Huid-/oogcontact</w:t>
            </w:r>
          </w:p>
        </w:tc>
        <w:tc>
          <w:tcPr>
            <w:tcW w:type="dxa" w:w="3135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Minimaal 15 minuten spoelen met water, ontkleden [5]</w:t>
            </w:r>
          </w:p>
        </w:tc>
      </w:tr>
      <w:tr>
        <w:tc>
          <w:tcPr>
            <w:tcW w:type="dxa" w:w="3135"/>
            <w:shd w:fill="F0F4F8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Algemeen — chemische brandwond</w:t>
            </w:r>
          </w:p>
        </w:tc>
        <w:tc>
          <w:tcPr>
            <w:tcW w:type="dxa" w:w="3135"/>
            <w:shd w:fill="F0F4F8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Huidcontact</w:t>
            </w:r>
          </w:p>
        </w:tc>
        <w:tc>
          <w:tcPr>
            <w:tcW w:type="dxa" w:w="3135"/>
            <w:shd w:fill="F0F4F8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Niet wrijven, niet neutraliseren op de huid, spoelen met water, medische hulp</w:t>
            </w:r>
          </w:p>
        </w:tc>
      </w:tr>
    </w:tbl>
    <w:p>
      <w:pPr>
        <w:pStyle w:val="Heading1"/>
      </w:pPr>
      <w:r>
        <w:t>10. Opleiding en Training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Onderdeel</w:t>
            </w:r>
          </w:p>
        </w:tc>
        <w:tc>
          <w:tcPr>
            <w:tcW w:type="dxa" w:w="2351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Duur</w:t>
            </w:r>
          </w:p>
        </w:tc>
        <w:tc>
          <w:tcPr>
            <w:tcW w:type="dxa" w:w="2351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Frequentie</w:t>
            </w:r>
          </w:p>
        </w:tc>
        <w:tc>
          <w:tcPr>
            <w:tcW w:type="dxa" w:w="2351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Norm</w:t>
            </w:r>
          </w:p>
        </w:tc>
      </w:tr>
      <w:tr>
        <w:tc>
          <w:tcPr>
            <w:tcW w:type="dxa" w:w="2351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BHV basis</w:t>
            </w:r>
          </w:p>
        </w:tc>
        <w:tc>
          <w:tcPr>
            <w:tcW w:type="dxa" w:w="2351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2 dagen + 1 dag chemie module</w:t>
            </w:r>
          </w:p>
        </w:tc>
        <w:tc>
          <w:tcPr>
            <w:tcW w:type="dxa" w:w="2351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Eenmalig + hercertificering</w:t>
            </w:r>
          </w:p>
        </w:tc>
        <w:tc>
          <w:tcPr>
            <w:tcW w:type="dxa" w:w="2351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NEN 4000 [3]</w:t>
            </w:r>
          </w:p>
        </w:tc>
      </w:tr>
      <w:tr>
        <w:tc>
          <w:tcPr>
            <w:tcW w:type="dxa" w:w="2351"/>
            <w:shd w:fill="F0F4F8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Jaarlijkse refresher</w:t>
            </w:r>
          </w:p>
        </w:tc>
        <w:tc>
          <w:tcPr>
            <w:tcW w:type="dxa" w:w="2351"/>
            <w:shd w:fill="F0F4F8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1 dag</w:t>
            </w:r>
          </w:p>
        </w:tc>
        <w:tc>
          <w:tcPr>
            <w:tcW w:type="dxa" w:w="2351"/>
            <w:shd w:fill="F0F4F8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Jaarlijks</w:t>
            </w:r>
          </w:p>
        </w:tc>
        <w:tc>
          <w:tcPr>
            <w:tcW w:type="dxa" w:w="2351"/>
            <w:shd w:fill="F0F4F8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NEN 4000 [3]</w:t>
            </w:r>
          </w:p>
        </w:tc>
      </w:tr>
      <w:tr>
        <w:tc>
          <w:tcPr>
            <w:tcW w:type="dxa" w:w="2351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Oefenscenario's</w:t>
            </w:r>
          </w:p>
        </w:tc>
        <w:tc>
          <w:tcPr>
            <w:tcW w:type="dxa" w:w="2351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Halve dag per sessie</w:t>
            </w:r>
          </w:p>
        </w:tc>
        <w:tc>
          <w:tcPr>
            <w:tcW w:type="dxa" w:w="2351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4x per jaar</w:t>
            </w:r>
          </w:p>
        </w:tc>
        <w:tc>
          <w:tcPr>
            <w:tcW w:type="dxa" w:w="2351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Koppeling Doc #07</w:t>
            </w:r>
          </w:p>
        </w:tc>
      </w:tr>
      <w:tr>
        <w:tc>
          <w:tcPr>
            <w:tcW w:type="dxa" w:w="2351"/>
            <w:shd w:fill="F0F4F8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EHBO + AED</w:t>
            </w:r>
          </w:p>
        </w:tc>
        <w:tc>
          <w:tcPr>
            <w:tcW w:type="dxa" w:w="2351"/>
            <w:shd w:fill="F0F4F8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1 dag</w:t>
            </w:r>
          </w:p>
        </w:tc>
        <w:tc>
          <w:tcPr>
            <w:tcW w:type="dxa" w:w="2351"/>
            <w:shd w:fill="F0F4F8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2-jaarlijks</w:t>
            </w:r>
          </w:p>
        </w:tc>
        <w:tc>
          <w:tcPr>
            <w:tcW w:type="dxa" w:w="2351"/>
            <w:shd w:fill="F0F4F8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Rode Kruis / Oranje Kruis</w:t>
            </w:r>
          </w:p>
        </w:tc>
      </w:tr>
      <w:tr>
        <w:tc>
          <w:tcPr>
            <w:tcW w:type="dxa" w:w="2351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Brandwacht</w:t>
            </w:r>
          </w:p>
        </w:tc>
        <w:tc>
          <w:tcPr>
            <w:tcW w:type="dxa" w:w="2351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1 dag</w:t>
            </w:r>
          </w:p>
        </w:tc>
        <w:tc>
          <w:tcPr>
            <w:tcW w:type="dxa" w:w="2351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Jaarlijks</w:t>
            </w:r>
          </w:p>
        </w:tc>
        <w:tc>
          <w:tcPr>
            <w:tcW w:type="dxa" w:w="2351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NEN 4000 [3]</w:t>
            </w:r>
          </w:p>
        </w:tc>
      </w:tr>
    </w:tbl>
    <w:p>
      <w:pPr>
        <w:pStyle w:val="Heading2"/>
      </w:pPr>
      <w:r>
        <w:rPr>
          <w:color w:val="003366"/>
        </w:rPr>
        <w:t>Training &amp; Certificering (E1#04)</w:t>
      </w:r>
    </w:p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/>
            <w:r>
              <w:rPr>
                <w:rFonts w:ascii="Calibri" w:hAnsi="Calibri"/>
                <w:b/>
                <w:sz w:val="22"/>
              </w:rPr>
              <w:t>VBS Referentie</w:t>
            </w:r>
          </w:p>
        </w:tc>
        <w:tc>
          <w:tcPr>
            <w:tcW w:type="dxa" w:w="3135"/>
          </w:tcPr>
          <w:p>
            <w:r/>
            <w:r>
              <w:rPr>
                <w:rFonts w:ascii="Calibri" w:hAnsi="Calibri"/>
                <w:b/>
                <w:sz w:val="22"/>
              </w:rPr>
              <w:t>Document</w:t>
            </w:r>
          </w:p>
        </w:tc>
        <w:tc>
          <w:tcPr>
            <w:tcW w:type="dxa" w:w="3135"/>
          </w:tcPr>
          <w:p>
            <w:r/>
            <w:r>
              <w:rPr>
                <w:rFonts w:ascii="Calibri" w:hAnsi="Calibri"/>
                <w:b/>
                <w:sz w:val="22"/>
              </w:rPr>
              <w:t>Koppeling / Beschrijving</w:t>
            </w:r>
          </w:p>
        </w:tc>
      </w:tr>
      <w:tr>
        <w:tc>
          <w:tcPr>
            <w:tcW w:type="dxa" w:w="3135"/>
          </w:tcPr>
          <w:p>
            <w:r/>
            <w:r>
              <w:rPr>
                <w:rFonts w:ascii="Calibri" w:hAnsi="Calibri"/>
                <w:b w:val="0"/>
                <w:sz w:val="22"/>
              </w:rPr>
              <w:t>E1#04</w:t>
            </w:r>
          </w:p>
        </w:tc>
        <w:tc>
          <w:tcPr>
            <w:tcW w:type="dxa" w:w="3135"/>
          </w:tcPr>
          <w:p>
            <w:r/>
            <w:r>
              <w:rPr>
                <w:rFonts w:ascii="Calibri" w:hAnsi="Calibri"/>
                <w:b w:val="0"/>
                <w:sz w:val="22"/>
              </w:rPr>
              <w:t>Training Matrix</w:t>
            </w:r>
          </w:p>
        </w:tc>
        <w:tc>
          <w:tcPr>
            <w:tcW w:type="dxa" w:w="3135"/>
          </w:tcPr>
          <w:p>
            <w:r/>
            <w:r>
              <w:rPr>
                <w:rFonts w:ascii="Calibri" w:hAnsi="Calibri"/>
                <w:b w:val="0"/>
                <w:sz w:val="22"/>
              </w:rPr>
              <w:t>Hercertificering BHV via training matrix; BHV-training opnemen in E1#04</w:t>
            </w:r>
          </w:p>
        </w:tc>
      </w:tr>
    </w:tbl>
    <w:p>
      <w:pPr>
        <w:spacing w:before="120"/>
      </w:pPr>
      <w:r>
        <w:rPr>
          <w:rFonts w:ascii="Calibri" w:hAnsi="Calibri"/>
          <w:sz w:val="22"/>
        </w:rPr>
        <w:t>BHV-hercertificering wordt aangestuurd via de E1#04 Training Matrix. Alle BHV-trainingen zijn opgenomen in de matrix met geldigheidsduren en herhalingsfrequentie. Dit waarborgt dat alle BHV'ers te allen tijde gecertificeerd zijn.</w:t>
      </w:r>
    </w:p>
    <w:p>
      <w:pPr>
        <w:pStyle w:val="Heading1"/>
      </w:pPr>
      <w:r>
        <w:t>11. Bronnenlijst</w:t>
      </w:r>
    </w:p>
    <w:p>
      <w:pPr>
        <w:pStyle w:val="ListBullet"/>
      </w:pPr>
      <w:r>
        <w:t>[1] Arbeidsomstandighedenwet (Arbowet), artikel 15 — BHV-verplichting</w:t>
      </w:r>
    </w:p>
    <w:p>
      <w:pPr>
        <w:pStyle w:val="ListBullet"/>
      </w:pPr>
      <w:r>
        <w:t>[2] Arbeidsomstandighedenbesluit (Arbobesluit) — Uitvoeringsregels BHV</w:t>
      </w:r>
    </w:p>
    <w:p>
      <w:pPr>
        <w:pStyle w:val="ListBullet"/>
      </w:pPr>
      <w:r>
        <w:t>[3] NEN 4000:2014 — Certificering van BHV-opleidingen</w:t>
      </w:r>
    </w:p>
    <w:p>
      <w:pPr>
        <w:pStyle w:val="ListBullet"/>
      </w:pPr>
      <w:r>
        <w:t>[4] Besluit risico's zware ongevallen 2015 (BRZO 2015), artikel 11 — Interne noodplannen</w:t>
      </w:r>
    </w:p>
    <w:p>
      <w:pPr>
        <w:pStyle w:val="ListBullet"/>
      </w:pPr>
      <w:r>
        <w:t>[5] Meta-Dossier VBS Element 4, Phoenix Metals B.V., v1.0, 29 april 2026</w:t>
      </w:r>
    </w:p>
    <w:p>
      <w:pPr>
        <w:pStyle w:val="Heading1"/>
      </w:pPr>
      <w:r>
        <w:t>12. TierVerify Log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Check</w:t>
            </w:r>
          </w:p>
        </w:tc>
        <w:tc>
          <w:tcPr>
            <w:tcW w:type="dxa" w:w="3135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Bron</w:t>
            </w:r>
          </w:p>
        </w:tc>
        <w:tc>
          <w:tcPr>
            <w:tcW w:type="dxa" w:w="3135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Status</w:t>
            </w:r>
          </w:p>
        </w:tc>
      </w:tr>
      <w:tr>
        <w:tc>
          <w:tcPr>
            <w:tcW w:type="dxa" w:w="3135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Wettelijke basis aanwezig</w:t>
            </w:r>
          </w:p>
        </w:tc>
        <w:tc>
          <w:tcPr>
            <w:tcW w:type="dxa" w:w="3135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Arbowet art. 15, BRZO 2015 art. 11</w:t>
            </w:r>
          </w:p>
        </w:tc>
        <w:tc>
          <w:tcPr>
            <w:tcW w:type="dxa" w:w="3135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✅ Geverifieerd</w:t>
            </w:r>
          </w:p>
        </w:tc>
      </w:tr>
      <w:tr>
        <w:tc>
          <w:tcPr>
            <w:tcW w:type="dxa" w:w="3135"/>
            <w:shd w:fill="F0F4F8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Chemie-specifieke procedures</w:t>
            </w:r>
          </w:p>
        </w:tc>
        <w:tc>
          <w:tcPr>
            <w:tcW w:type="dxa" w:w="3135"/>
            <w:shd w:fill="F0F4F8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Meta-Dossier §2 — H₂SO₄, NaOH, V₂O₅</w:t>
            </w:r>
          </w:p>
        </w:tc>
        <w:tc>
          <w:tcPr>
            <w:tcW w:type="dxa" w:w="3135"/>
            <w:shd w:fill="F0F4F8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✅ Geverifieerd</w:t>
            </w:r>
          </w:p>
        </w:tc>
      </w:tr>
      <w:tr>
        <w:tc>
          <w:tcPr>
            <w:tcW w:type="dxa" w:w="3135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BHV-team samenstelling</w:t>
            </w:r>
          </w:p>
        </w:tc>
        <w:tc>
          <w:tcPr>
            <w:tcW w:type="dxa" w:w="3135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Meta-Dossier §5 — Rollen en verantwoordelijkheden</w:t>
            </w:r>
          </w:p>
        </w:tc>
        <w:tc>
          <w:tcPr>
            <w:tcW w:type="dxa" w:w="3135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✅ Geverifieerd</w:t>
            </w:r>
          </w:p>
        </w:tc>
      </w:tr>
      <w:tr>
        <w:tc>
          <w:tcPr>
            <w:tcW w:type="dxa" w:w="3135"/>
            <w:shd w:fill="F0F4F8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BHV-middelen inventaris</w:t>
            </w:r>
          </w:p>
        </w:tc>
        <w:tc>
          <w:tcPr>
            <w:tcW w:type="dxa" w:w="3135"/>
            <w:shd w:fill="F0F4F8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Meta-Dossier §7 — Interne hulpmiddelen</w:t>
            </w:r>
          </w:p>
        </w:tc>
        <w:tc>
          <w:tcPr>
            <w:tcW w:type="dxa" w:w="3135"/>
            <w:shd w:fill="F0F4F8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✅ Geverifieerd</w:t>
            </w:r>
          </w:p>
        </w:tc>
      </w:tr>
      <w:tr>
        <w:tc>
          <w:tcPr>
            <w:tcW w:type="dxa" w:w="3135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Alarmniveaus</w:t>
            </w:r>
          </w:p>
        </w:tc>
        <w:tc>
          <w:tcPr>
            <w:tcW w:type="dxa" w:w="3135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Meta-Dossier §4 — Alarmniveaus 0–4</w:t>
            </w:r>
          </w:p>
        </w:tc>
        <w:tc>
          <w:tcPr>
            <w:tcW w:type="dxa" w:w="3135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✅ Geverifieerd</w:t>
            </w:r>
          </w:p>
        </w:tc>
      </w:tr>
      <w:tr>
        <w:tc>
          <w:tcPr>
            <w:tcW w:type="dxa" w:w="3135"/>
            <w:shd w:fill="F0F4F8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Opleidingsvereisten</w:t>
            </w:r>
          </w:p>
        </w:tc>
        <w:tc>
          <w:tcPr>
            <w:tcW w:type="dxa" w:w="3135"/>
            <w:shd w:fill="F0F4F8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NEN 4000:2014 [3]</w:t>
            </w:r>
          </w:p>
        </w:tc>
        <w:tc>
          <w:tcPr>
            <w:tcW w:type="dxa" w:w="3135"/>
            <w:shd w:fill="F0F4F8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✅ Geverifieerd</w:t>
            </w:r>
          </w:p>
        </w:tc>
      </w:tr>
      <w:tr>
        <w:tc>
          <w:tcPr>
            <w:tcW w:type="dxa" w:w="3135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Bronverwijzingen compleet</w:t>
            </w:r>
          </w:p>
        </w:tc>
        <w:tc>
          <w:tcPr>
            <w:tcW w:type="dxa" w:w="3135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[1]–[5]</w:t>
            </w:r>
          </w:p>
        </w:tc>
        <w:tc>
          <w:tcPr>
            <w:tcW w:type="dxa" w:w="3135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✅ Geverifieerd</w:t>
            </w:r>
          </w:p>
        </w:tc>
      </w:tr>
    </w:tbl>
    <w:p>
      <w:r>
        <w:rPr>
          <w:i/>
          <w:color w:val="1F2937"/>
          <w:sz w:val="20"/>
        </w:rPr>
        <w:br/>
        <w:t>TierVerify afgerond — alle checks conform Meta-Dossier v1.0 en wettelijk kader.</w:t>
      </w:r>
    </w:p>
    <w:sectPr w:rsidR="00FC693F" w:rsidRPr="0006063C" w:rsidSect="00034616">
      <w:footerReference w:type="default" r:id="rId10"/>
      <w:headerReference w:type="default" r:id="rId11"/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color w:val="003366"/>
        <w:sz w:val="16"/>
      </w:rPr>
      <w:t>JvG Consultancy | Safety • Governance • Advisory | © 2026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1F2937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Calibri" w:hAnsi="Calibri"/>
      <w:b/>
      <w:bCs/>
      <w:color w:val="003366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Calibri" w:hAnsi="Calibri"/>
      <w:b/>
      <w:bCs/>
      <w:color w:val="003366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Calibri" w:hAnsi="Calibri"/>
      <w:b/>
      <w:bCs/>
      <w:color w:val="003366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footer" Target="footer1.xml"/><Relationship Id="rId11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