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003366"/>
          <w:sz w:val="44"/>
        </w:rPr>
        <w:t>VE Register &amp; SCE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Veiligheidskritische Equipment Register conform NTA 8620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32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Waarde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Phoenix Metals VBS Element 3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JvG Consultancy — HSEQ Specialist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  <w:shd w:fill="F8F9FA"/>
          </w:tcPr>
          <w:p>
            <w:r>
              <w:rPr>
                <w:rFonts w:ascii="Calibri" w:hAnsi="Calibri"/>
                <w:sz w:val="20"/>
              </w:rPr>
              <w:t>Concept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rFonts w:ascii="Calibri" w:hAnsi="Calibri"/>
          <w:b w:val="0"/>
          <w:color w:val="1F2F37"/>
          <w:sz w:val="22"/>
        </w:rPr>
        <w:t>(Word gegenereerde inhoudsopgave — bijwerken via Referenties → Inhoudsopgave bijwerken)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rPr>
          <w:rFonts w:ascii="Calibri" w:hAnsi="Calibri"/>
          <w:b w:val="0"/>
          <w:color w:val="1F2F37"/>
          <w:sz w:val="22"/>
        </w:rPr>
        <w:t>Dit document beschrijft het register van veiligheidskritische equipment (Safety Critical Equipment, SCE) conform NTA 8620 paragraaf 8.4 en Seveso III artikel 12 [1][2]. Het SCE-register zorgt dat alle apparatuur waarvan het falen kan leiden tot een major accident, wordt geïdentificeerd, geregistreerd en onderhouden volgens een strikt inspectie- en onderhoudsregime.</w:t>
      </w:r>
    </w:p>
    <w:p>
      <w:pPr>
        <w:pStyle w:val="Heading1"/>
      </w:pPr>
      <w:r>
        <w:rPr>
          <w:rFonts w:ascii="Calibri" w:hAnsi="Calibri"/>
          <w:color w:val="003366"/>
        </w:rPr>
        <w:t>2. Definitie SCE</w:t>
      </w:r>
    </w:p>
    <w:p>
      <w:r>
        <w:rPr>
          <w:rFonts w:ascii="Calibri" w:hAnsi="Calibri"/>
          <w:b w:val="0"/>
          <w:color w:val="1F2F37"/>
          <w:sz w:val="22"/>
        </w:rPr>
        <w:t>Safety Critical Equipment is apparatuur of systemen waarvan het falen, degradatie of het buiten dienst stellen direct of indirect kan leiden tot een major accident [1].</w:t>
      </w:r>
    </w:p>
    <w:p>
      <w:r>
        <w:rPr>
          <w:rFonts w:ascii="Calibri" w:hAnsi="Calibri"/>
          <w:b w:val="0"/>
          <w:color w:val="1F2F37"/>
          <w:sz w:val="22"/>
        </w:rPr>
        <w:t>Classificatiecriteria: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Falen leidt tot verlies van containment van gevaarlijke stoffen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Falen leidt tot verlies van veiligheidsfunctie (SIS, ESD, brandbestrijding)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Falen leidt tot oncontroleerbare procesafwijking (druk, temperatuur, reactie)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Benoemd in HAZOP, FMECA, BowTie of QRA als kritieke barrière</w:t>
      </w:r>
    </w:p>
    <w:p>
      <w:pPr>
        <w:pStyle w:val="Heading1"/>
      </w:pPr>
      <w:r>
        <w:rPr>
          <w:rFonts w:ascii="Calibri" w:hAnsi="Calibri"/>
          <w:color w:val="003366"/>
        </w:rPr>
        <w:t>3. SCE Identificatie</w:t>
      </w:r>
    </w:p>
    <w:p>
      <w:r>
        <w:rPr>
          <w:rFonts w:ascii="Calibri" w:hAnsi="Calibri"/>
          <w:b w:val="0"/>
          <w:color w:val="1F2F37"/>
          <w:sz w:val="22"/>
        </w:rPr>
        <w:t>SCE wordt geïdentificeerd uit de volgende bronnen: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Documentreferentie</w:t>
            </w:r>
          </w:p>
        </w:tc>
        <w:tc>
          <w:tcPr>
            <w:tcW w:type="dxa" w:w="28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Output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HAZOP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PM_VBS02 — Gevaaridentificatie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Kritieke knooppunten → SCE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FMECA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PM_VBS02 — Risicoanalyse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Kritieke faalwijzen → SCE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BowTie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PM_VBS02 — Barrièreanalyse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Kritieke barrières → SCE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QRA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PM_VBS02 — Kwantitatieve risicoanalyse</w:t>
            </w:r>
          </w:p>
        </w:tc>
        <w:tc>
          <w:tcPr>
            <w:tcW w:type="dxa" w:w="2880"/>
            <w:shd w:fill="F8F9FA"/>
          </w:tcPr>
          <w:p>
            <w:r>
              <w:rPr>
                <w:rFonts w:ascii="Calibri" w:hAnsi="Calibri"/>
                <w:sz w:val="20"/>
              </w:rPr>
              <w:t>Dominante scenarios → SCE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4. SCE Register</w:t>
      </w:r>
    </w:p>
    <w:p>
      <w:r>
        <w:rPr>
          <w:rFonts w:ascii="Calibri" w:hAnsi="Calibri"/>
          <w:b w:val="0"/>
          <w:color w:val="1F2F37"/>
          <w:sz w:val="22"/>
        </w:rPr>
        <w:t>Het SCE-register bevat minimaal de volgende velden per item: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Equipment ID</w:t>
            </w:r>
          </w:p>
        </w:tc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SCE-categorie</w:t>
            </w:r>
          </w:p>
        </w:tc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SIL</w:t>
            </w:r>
          </w:p>
        </w:tc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Inspectieregime</w:t>
            </w:r>
          </w:p>
        </w:tc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Testfreq.</w:t>
            </w:r>
          </w:p>
        </w:tc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Verantw.</w:t>
            </w:r>
          </w:p>
        </w:tc>
        <w:tc>
          <w:tcPr>
            <w:tcW w:type="dxa" w:w="108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SCE-001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Overdruksklep reactor R-101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Drukbeveiliging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Periodiek + cal.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SCE-002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Gasdetectie H₂S zone A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Detectie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Kalibratie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SCE-003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ESD-systeem hoofdproces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Interlock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Proof test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SCE-004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Brandblusinstallatie pumps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Brandbestrijding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n.v.t.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Functionele test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Facilitair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SCE-005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Noodstroomaggregaat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Energievoorziening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n.v.t.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Starttest + belasting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Elektro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SCE-006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Koelwaterpomp PW-201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Koelsysteem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Trilling/conditie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3-mnd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Mechanisch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SCE-007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Niveau-schakelaar tank TK-301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Niveaubeveiliging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Proof test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SCE-008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Ventilatie-afzuiging procesruimte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Ventilatie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n.v.t.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Flow-meting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HVAC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SCE-009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Inertgas-systeem (N₂)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Inertisatie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Druk/flow test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SCE-010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Temperatuursensor oven H-101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Temperatuurbeveiliging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Kalibratie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SCE-011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Veiligheidsklep (PSV) separator V-201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Overdrukbeveiliging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Visueel + cal.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Mechanisch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SCE-012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Lekdetectie dubbele wand tank TK-302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Lekdetectie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Functionele test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SCE-013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Brandalarm centrale eenheid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Branddetectie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n.v.t.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Volledige test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Facilitair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SCE-014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Druksensor reactor R-101 (PT-101)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Procesbewaking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Kalibratie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SCE-015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Afsluitklep voeding reactor (XV-101)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Final element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Proof test + stroke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SCE-016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Spoelwaterpomp nooddouche systeem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Noodvoorziening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n.v.t.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Flow test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Maandelijks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Facilitair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SCE-017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Stofafzuiging filterunit FU-401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Stofexplosiepreventie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1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DP-meting + visueel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3-mnd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Mechanisch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SCE-018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Bliksemafleider installatie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Externe beveiliging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n.v.t.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Visueel + meting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Elektro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SCE-019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Gasdetectie CH₄ laadperron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Detectie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SIL 2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Kalibratie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6-mnd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Instrumentatie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  <w:tr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SCE-020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Centrale DCS/SCADA server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Procesbesturing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n.v.t.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Backup + failover test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Automatisering</w:t>
            </w:r>
          </w:p>
        </w:tc>
        <w:tc>
          <w:tcPr>
            <w:tcW w:type="dxa" w:w="1080"/>
            <w:shd w:fill="F8F9FA"/>
          </w:tcPr>
          <w:p>
            <w:r>
              <w:rPr>
                <w:rFonts w:ascii="Calibri" w:hAnsi="Calibri"/>
                <w:sz w:val="20"/>
              </w:rPr>
              <w:t>Actief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pPr>
        <w:pStyle w:val="Heading1"/>
      </w:pPr>
      <w:r>
        <w:rPr>
          <w:rFonts w:ascii="Calibri" w:hAnsi="Calibri"/>
          <w:color w:val="003366"/>
        </w:rPr>
        <w:t>5. Inspectie &amp; Onderhoudsregime</w:t>
      </w:r>
    </w:p>
    <w:p>
      <w:r>
        <w:rPr>
          <w:rFonts w:ascii="Calibri" w:hAnsi="Calibri"/>
          <w:b w:val="0"/>
          <w:color w:val="1F2F37"/>
          <w:sz w:val="22"/>
        </w:rPr>
        <w:t>Per SCE-item geldt een specifiek inspectie- en onderhoudsregime: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Norm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Preventief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Gepland onderhoud volgens schema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Per SCE vastgesteld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Fabrikant + NEN-EN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Condition-based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Onderhoud op basis van conditiemeting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Continue monitoring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ISO 17359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Correctief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Reparatie na constateerde afwijking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Naar aanleiding van bevinding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SOP</w:t>
            </w:r>
          </w:p>
        </w:tc>
      </w:tr>
    </w:tbl>
    <w:p>
      <w:r>
        <w:rPr>
          <w:rFonts w:ascii="Calibri" w:hAnsi="Calibri"/>
          <w:b w:val="0"/>
          <w:color w:val="1F2F37"/>
          <w:sz w:val="22"/>
        </w:rPr>
      </w:r>
    </w:p>
    <w:p>
      <w:r>
        <w:rPr>
          <w:rFonts w:ascii="Calibri" w:hAnsi="Calibri"/>
          <w:b w:val="0"/>
          <w:color w:val="1F2F37"/>
          <w:sz w:val="22"/>
        </w:rPr>
        <w:t>Koppeling: Onderhoudsbeheer conform PM_VBS03_05 — Onderhoudsprocedure.</w:t>
      </w:r>
    </w:p>
    <w:p>
      <w:pPr>
        <w:pStyle w:val="Heading1"/>
      </w:pPr>
      <w:r>
        <w:rPr>
          <w:rFonts w:ascii="Calibri" w:hAnsi="Calibri"/>
          <w:color w:val="003366"/>
        </w:rPr>
        <w:t>6. Afwijkingen &amp; Derogatie</w:t>
      </w:r>
    </w:p>
    <w:p>
      <w:pPr>
        <w:pStyle w:val="Heading2"/>
      </w:pPr>
      <w:r>
        <w:rPr>
          <w:rFonts w:ascii="Calibri" w:hAnsi="Calibri"/>
          <w:color w:val="003366"/>
        </w:rPr>
        <w:t>6.1 Procedure bij SCE-uitval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Onmiddellijk melden aan ploegenbaas en operationeel manager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Risicobeoordeling: kan het proces veilig blijven draaien zonder dit SCE?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Zo nee → proces direct veilig stilgezet (shutdown procedure PM_VBS03_14)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Zo ja → derogatieprocedure starten</w:t>
      </w:r>
    </w:p>
    <w:p>
      <w:pPr>
        <w:pStyle w:val="Heading2"/>
      </w:pPr>
      <w:r>
        <w:rPr>
          <w:rFonts w:ascii="Calibri" w:hAnsi="Calibri"/>
          <w:color w:val="003366"/>
        </w:rPr>
        <w:t>6.2 Derogatie</w:t>
      </w:r>
    </w:p>
    <w:p>
      <w:r>
        <w:rPr>
          <w:rFonts w:ascii="Calibri" w:hAnsi="Calibri"/>
          <w:b w:val="0"/>
          <w:color w:val="1F2F37"/>
          <w:sz w:val="22"/>
        </w:rPr>
        <w:t>Een SCE-item mag tijdelijk buiten dienst worden gesteld onder strikte voorwaarden: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Schriftelijke goedkeuring door operationeel manager + HSEQ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Maximale derogatietermijn: 30 dagen (herzienbaar na risicoanalyse)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Compenserende maatregelen: verhoogde monitoring, extra rondes, handmatige controles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Registratie in derogatielog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Koppeling MoC (PM_VBS05_02): derogatie &gt;30 dagen = MoC-traject</w:t>
      </w:r>
    </w:p>
    <w:p>
      <w:pPr>
        <w:pStyle w:val="Heading1"/>
      </w:pPr>
      <w:r>
        <w:rPr>
          <w:rFonts w:ascii="Calibri" w:hAnsi="Calibri"/>
          <w:color w:val="003366"/>
        </w:rPr>
        <w:t>7. Rapportage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SCE-status dashboard: maandelijks overzicht van alle SCE-items met status (conform/afwijking/derogatie)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Compliance ratio: percentage SCE-items conform inspectieschema — streefwaarde ≥95% [1]</w:t>
      </w:r>
    </w:p>
    <w:p>
      <w:pPr>
        <w:pStyle w:val="ListBullet"/>
      </w:pPr>
      <w:r>
        <w:rPr>
          <w:rFonts w:ascii="Calibri" w:hAnsi="Calibri"/>
          <w:color w:val="1F2F37"/>
          <w:sz w:val="22"/>
        </w:rPr>
        <w:t>Koppeling KPI Matrix (PM_VBS03_10): SCE-compliance als KPI</w:t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rPr>
          <w:rFonts w:ascii="Calibri" w:hAnsi="Calibri"/>
          <w:b w:val="0"/>
          <w:color w:val="1F2F37"/>
          <w:sz w:val="22"/>
        </w:rPr>
        <w:t>[1] NTA 8620:2020, paragraaf 8.4 — Veiligheidskritische apparatuur</w:t>
      </w:r>
    </w:p>
    <w:p>
      <w:r>
        <w:rPr>
          <w:rFonts w:ascii="Calibri" w:hAnsi="Calibri"/>
          <w:b w:val="0"/>
          <w:color w:val="1F2F37"/>
          <w:sz w:val="22"/>
        </w:rPr>
        <w:t>[2] Seveso III Richtlijn 2012/18/EU, artikel 12 — Veiligheidsbeheerssysteem</w:t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160"/>
            <w:shd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Opmerking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SCE-definitie conform NTA 8620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NTA 8620 §8.4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Criteria gedefinieerd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20 SCE-items geregistreerd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SCE-register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Relevant voor metaalverwerking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Derogatieprocedure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NTA 8620, Seveso III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30-dagen max + compenserende maatregelen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Koppeling KPI Matrix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PM_VBS03_10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✅ Pass</w:t>
            </w:r>
          </w:p>
        </w:tc>
        <w:tc>
          <w:tcPr>
            <w:tcW w:type="dxa" w:w="2160"/>
            <w:shd w:fill="F8F9FA"/>
          </w:tcPr>
          <w:p>
            <w:r>
              <w:rPr>
                <w:rFonts w:ascii="Calibri" w:hAnsi="Calibri"/>
                <w:sz w:val="20"/>
              </w:rPr>
              <w:t>Compliance ratio ≥95%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</w:rPr>
  </w:style>
  <w:style w:type="table" w:default="1" w:styleId="TableNormal">
    <w:name w:val="Normal Table"/>
    <w:uiPriority w:val="99"/>
    <w:semiHidden/>
    <w:unhideWhenUsed/>
    <w:rPr>
      <w:rFonts w:ascii="Calibri" w:hAnsi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Calibri" w:hAnsi="Calibri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Calibri" w:hAnsi="Calibri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Calibri" w:hAnsi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Calibri" w:hAnsi="Calibri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Calibri" w:hAnsi="Calibri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Calibri" w:hAnsi="Calibri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libri" w:hAnsi="Calibri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Calibri" w:hAnsi="Calibri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Calibri" w:hAnsi="Calibri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Calibri" w:hAnsi="Calibri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Calibri" w:hAnsi="Calibri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Calibri" w:hAnsi="Calibri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Calibri" w:hAnsi="Calibri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Calibri" w:hAnsi="Calibr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libri" w:hAnsi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Calibri" w:hAnsi="Calibri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Calibri" w:hAnsi="Calibri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Calibri" w:hAnsi="Calibri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Calibri" w:hAnsi="Calibri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Calibri" w:hAnsi="Calibri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Calibri" w:hAnsi="Calibri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Calibri" w:hAnsi="Calibri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Calibri" w:hAnsi="Calibri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Calibri" w:hAnsi="Calibri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Calibri" w:hAnsi="Calibri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