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>
      <w:r>
        <w:drawing>
          <wp:inline xmlns:a="http://schemas.openxmlformats.org/drawingml/2006/main" xmlns:pic="http://schemas.openxmlformats.org/drawingml/2006/picture">
            <wp:extent cx="720000" cy="646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6462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jc w:val="center"/>
      </w:pPr>
      <w:r>
        <w:rPr>
          <w:rFonts w:ascii="Calibri" w:hAnsi="Calibri"/>
          <w:b/>
          <w:color w:val="003366"/>
          <w:sz w:val="44"/>
        </w:rPr>
        <w:t>KPI Matrix Veiligheidsprestatie Indicatoren</w:t>
      </w:r>
    </w:p>
    <w:p>
      <w:pPr>
        <w:jc w:val="center"/>
      </w:pPr>
      <w:r>
        <w:rPr>
          <w:rFonts w:ascii="Calibri" w:hAnsi="Calibri"/>
          <w:color w:val="1F2937"/>
          <w:sz w:val="28"/>
        </w:rPr>
        <w:t>VBS Element 3 — Controle op de Exploitatie</w:t>
        <w:br/>
        <w:t>Document #10</w:t>
      </w:r>
    </w:p>
    <w:p>
      <w:pPr>
        <w:jc w:val="center"/>
      </w:pPr>
      <w:r>
        <w:rPr>
          <w:rFonts w:ascii="Calibri" w:hAnsi="Calibri"/>
          <w:color w:val="1F2937"/>
          <w:sz w:val="24"/>
        </w:rPr>
        <w:t>Phoenix Metals — Vanadium Recovery Plant, IJmuiden</w:t>
      </w:r>
    </w:p>
    <w:p/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Project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2026-PM-VBS-Element3</w:t>
            </w:r>
          </w:p>
        </w:tc>
      </w:tr>
      <w:tr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Type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KPI Matrix Veiligheidsprestatie Indicatoren</w:t>
            </w:r>
          </w:p>
        </w:tc>
      </w:tr>
      <w:tr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Auteur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HQ_14 Data Analyst</w:t>
            </w:r>
          </w:p>
        </w:tc>
      </w:tr>
      <w:tr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Versie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1.0</w:t>
            </w:r>
          </w:p>
        </w:tc>
      </w:tr>
      <w:tr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Datum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2026-04-29</w:t>
            </w:r>
          </w:p>
        </w:tc>
      </w:tr>
      <w:tr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Final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Documentbeheersing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Versie</w:t>
            </w:r>
          </w:p>
        </w:tc>
        <w:tc>
          <w:tcPr>
            <w:tcW w:type="dxa" w:w="2351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Datum</w:t>
            </w:r>
          </w:p>
        </w:tc>
        <w:tc>
          <w:tcPr>
            <w:tcW w:type="dxa" w:w="2351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Auteur</w:t>
            </w:r>
          </w:p>
        </w:tc>
        <w:tc>
          <w:tcPr>
            <w:tcW w:type="dxa" w:w="2351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Wijziging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1.0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2026-04-29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HQ_14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Initiële opstelling KPI Matrix</w:t>
            </w:r>
          </w:p>
        </w:tc>
      </w:tr>
    </w:tbl>
    <w:p/>
    <w:p>
      <w:r>
        <w:rPr>
          <w:b/>
        </w:rPr>
        <w:t>Goedkeuring: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Functie</w:t>
            </w:r>
          </w:p>
        </w:tc>
        <w:tc>
          <w:tcPr>
            <w:tcW w:type="dxa" w:w="2351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Naam</w:t>
            </w:r>
          </w:p>
        </w:tc>
        <w:tc>
          <w:tcPr>
            <w:tcW w:type="dxa" w:w="2351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Datum</w:t>
            </w:r>
          </w:p>
        </w:tc>
        <w:tc>
          <w:tcPr>
            <w:tcW w:type="dxa" w:w="2351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Handtekening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Directie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Phoenix Metals Management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HSEQ Manager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Kas (Director)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JvG Consultancy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2026-04-29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1. Doel en Scope</w:t>
      </w:r>
    </w:p>
    <w:p>
      <w:r>
        <w:t>Dit document definieert de Key Performance Indicators (KPI's) voor de veiligheidsprestatie van Phoenix Metals, als onderdeel van VBS Element 3 — Controle op de Exploitatie. De KPI's zijn afgeleid van BRZO 2015 Artikel 7 [1] en NTA 8620 [2], en koppelen direct met Element 1 Document #11 (Veiligheidsprestatie Indicatoren) [3].</w:t>
      </w:r>
    </w:p>
    <w:p>
      <w:r>
        <w:t>Doel: Het bieden van een meetbaar raamwerk voor de continue monitoring en verbetering van veiligheidsprestaties over alle processtappen van de vanadium recovery plant, inclusief alle inspectieniveaus.</w:t>
      </w:r>
    </w:p>
    <w:p>
      <w:r>
        <w:t>Scope: Alle operationele en onderhoudsactiviteiten binnen de Phoenix Metals inrichting te IJmuiden, inclusief werkvergunningen, TRA's, LOTO, overbruggingen, onderhoud, inspecties en incidentmanagement.</w:t>
      </w:r>
    </w:p>
    <w:p>
      <w:pPr>
        <w:pStyle w:val="Heading1"/>
      </w:pPr>
      <w:r>
        <w:rPr>
          <w:rFonts w:ascii="Calibri" w:hAnsi="Calibri"/>
          <w:color w:val="003366"/>
        </w:rPr>
        <w:t>2. Wettelijk Kader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Wetgeving</w:t>
            </w:r>
          </w:p>
        </w:tc>
        <w:tc>
          <w:tcPr>
            <w:tcW w:type="dxa" w:w="4703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Relevantie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BRZO 2015, Art. 7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Verplichting tot controle op de exploitatie; eist meetbare prestatie-indicatoren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NTA 8620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Specifieke eisen voor Control of Work, inspectie en onderhoudsmanagement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Arbowet / Arbobesluit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Algemene zorgplicht; specifieke eisen voor werken op hoogte, heet werk, risico-inventarisatie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Seveso III (2012/18/EU)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Kader voor veiligheidsmanagementsysteem en prestatiebewaking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3. Definities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Term</w:t>
            </w:r>
          </w:p>
        </w:tc>
        <w:tc>
          <w:tcPr>
            <w:tcW w:type="dxa" w:w="4703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Definitie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KPI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Key Performance Indicator — kwantificeerbare maat voor prestatie tegen een gesteld doel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Leading Indicator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Proactieve indicator die toekomstige prestatie voorspelt (bijv. inspectieratio, trainingdekking)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Lagging Indicator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Reactieve indicator die historische prestatie meet (bijv. LTIF, incidentenaantal)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Target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Beoogde prestatiewaarde — het doel waaraan moet worden voldaan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Drempelwaarde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Ondergrens — bij overschrijding (negatief) wordt escalatie geïnitieerd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Trend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Ontwikkeling van een KPI over tijd, gebruikt voor trendanalyse en benchmarking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4. KPI Framework</w:t>
      </w:r>
    </w:p>
    <w:p>
      <w:r>
        <w:t>Het KPI-raamwerk bestaat uit twee categorieën: Leading Indicators (proactief) en Lagging Indicators (reactief). Samen bieden zij een compleet beeld van de veiligheidsprestatie en het functioneren van het veiligheidsmanagementsysteem.</w:t>
      </w:r>
    </w:p>
    <w:p>
      <w:pPr>
        <w:pStyle w:val="Heading2"/>
      </w:pPr>
      <w:r>
        <w:rPr>
          <w:rFonts w:ascii="Calibri" w:hAnsi="Calibri"/>
          <w:color w:val="003366"/>
        </w:rPr>
        <w:t>4A. Leading Indicators (Proactief)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344"/>
        <w:gridCol w:w="1344"/>
        <w:gridCol w:w="1344"/>
        <w:gridCol w:w="1344"/>
        <w:gridCol w:w="1344"/>
        <w:gridCol w:w="1344"/>
        <w:gridCol w:w="1344"/>
      </w:tblGrid>
      <w:tr>
        <w:tc>
          <w:tcPr>
            <w:tcW w:type="dxa" w:w="134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#</w:t>
            </w:r>
          </w:p>
        </w:tc>
        <w:tc>
          <w:tcPr>
            <w:tcW w:type="dxa" w:w="134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KPI</w:t>
            </w:r>
          </w:p>
        </w:tc>
        <w:tc>
          <w:tcPr>
            <w:tcW w:type="dxa" w:w="134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Eenheid</w:t>
            </w:r>
          </w:p>
        </w:tc>
        <w:tc>
          <w:tcPr>
            <w:tcW w:type="dxa" w:w="134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Frequentie</w:t>
            </w:r>
          </w:p>
        </w:tc>
        <w:tc>
          <w:tcPr>
            <w:tcW w:type="dxa" w:w="134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Bron</w:t>
            </w:r>
          </w:p>
        </w:tc>
        <w:tc>
          <w:tcPr>
            <w:tcW w:type="dxa" w:w="134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Target</w:t>
            </w:r>
          </w:p>
        </w:tc>
        <w:tc>
          <w:tcPr>
            <w:tcW w:type="dxa" w:w="134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Drempel</w:t>
            </w:r>
          </w:p>
        </w:tc>
      </w:tr>
      <w:tr>
        <w:tc>
          <w:tcPr>
            <w:tcW w:type="dxa" w:w="1344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L-01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Werkvergunningen tijdig afgesloten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%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Wekelijks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CoW systeem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&gt;95%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&lt;90%</w:t>
            </w:r>
          </w:p>
        </w:tc>
      </w:tr>
      <w:tr>
        <w:tc>
          <w:tcPr>
            <w:tcW w:type="dxa" w:w="1344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L-02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TRA's uitgevoerd voorafgaand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%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Wekelijks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TRA register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100%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&lt;95%</w:t>
            </w:r>
          </w:p>
        </w:tc>
      </w:tr>
      <w:tr>
        <w:tc>
          <w:tcPr>
            <w:tcW w:type="dxa" w:w="1344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L-03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Preventief onderhoud op schema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%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Maandelijks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Onderhoudsplan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&gt;90%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&lt;85%</w:t>
            </w:r>
          </w:p>
        </w:tc>
      </w:tr>
      <w:tr>
        <w:tc>
          <w:tcPr>
            <w:tcW w:type="dxa" w:w="1344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L-04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Inspectierondes uitgevoerd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%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Wekelijks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Inspectie register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100%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&lt;95%</w:t>
            </w:r>
          </w:p>
        </w:tc>
      </w:tr>
      <w:tr>
        <w:tc>
          <w:tcPr>
            <w:tcW w:type="dxa" w:w="1344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L-05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Overbruggingen binnen tijdslimiet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%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Wekelijks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Overbruggingslog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100%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&lt;90%</w:t>
            </w:r>
          </w:p>
        </w:tc>
      </w:tr>
      <w:tr>
        <w:tc>
          <w:tcPr>
            <w:tcW w:type="dxa" w:w="1344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L-06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PSSR's uitgevoerd bij modificatie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%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Maandelijks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PSSR register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100%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&lt;100%</w:t>
            </w:r>
          </w:p>
        </w:tc>
      </w:tr>
      <w:tr>
        <w:tc>
          <w:tcPr>
            <w:tcW w:type="dxa" w:w="1344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L-07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CoW training voltooid personeel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%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Maandelijks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Training matrix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&gt;95%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&lt;90%</w:t>
            </w:r>
          </w:p>
        </w:tc>
      </w:tr>
      <w:tr>
        <w:tc>
          <w:tcPr>
            <w:tcW w:type="dxa" w:w="1344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L-08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Gasmetingen uitgevoerd (heet werk)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%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Wekelijks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Gasmeet-log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100%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&lt;100%</w:t>
            </w:r>
          </w:p>
        </w:tc>
      </w:tr>
      <w:tr>
        <w:tc>
          <w:tcPr>
            <w:tcW w:type="dxa" w:w="1344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L-09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LOTO procedures correct uitgevoerd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%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Maandelijks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LOTO register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&gt;98%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&lt;95%</w:t>
            </w:r>
          </w:p>
        </w:tc>
      </w:tr>
      <w:tr>
        <w:tc>
          <w:tcPr>
            <w:tcW w:type="dxa" w:w="1344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L-10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Noodstops getest (periodiek)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%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Maandelijks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Test register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100%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&lt;100%</w:t>
            </w:r>
          </w:p>
        </w:tc>
      </w:tr>
      <w:tr>
        <w:tc>
          <w:tcPr>
            <w:tcW w:type="dxa" w:w="1344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L-11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Correctieve acties binnen termijn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%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Maandelijks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Actie register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&gt;90%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&lt;80%</w:t>
            </w:r>
          </w:p>
        </w:tc>
      </w:tr>
      <w:tr>
        <w:tc>
          <w:tcPr>
            <w:tcW w:type="dxa" w:w="1344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L-12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Communicatie toolbox meetings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Aantal/maand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Maandelijks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Toolbox log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≥4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&lt;2</w:t>
            </w:r>
          </w:p>
        </w:tc>
      </w:tr>
    </w:tbl>
    <w:p>
      <w:r>
        <w:br w:type="page"/>
      </w:r>
    </w:p>
    <w:p>
      <w:pPr>
        <w:pStyle w:val="Heading2"/>
      </w:pPr>
      <w:r>
        <w:rPr>
          <w:rFonts w:ascii="Calibri" w:hAnsi="Calibri"/>
          <w:color w:val="003366"/>
        </w:rPr>
        <w:t>4B. Lagging Indicators (Reactief)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344"/>
        <w:gridCol w:w="1344"/>
        <w:gridCol w:w="1344"/>
        <w:gridCol w:w="1344"/>
        <w:gridCol w:w="1344"/>
        <w:gridCol w:w="1344"/>
        <w:gridCol w:w="1344"/>
      </w:tblGrid>
      <w:tr>
        <w:tc>
          <w:tcPr>
            <w:tcW w:type="dxa" w:w="134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#</w:t>
            </w:r>
          </w:p>
        </w:tc>
        <w:tc>
          <w:tcPr>
            <w:tcW w:type="dxa" w:w="134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KPI</w:t>
            </w:r>
          </w:p>
        </w:tc>
        <w:tc>
          <w:tcPr>
            <w:tcW w:type="dxa" w:w="134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Eenheid</w:t>
            </w:r>
          </w:p>
        </w:tc>
        <w:tc>
          <w:tcPr>
            <w:tcW w:type="dxa" w:w="134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Frequentie</w:t>
            </w:r>
          </w:p>
        </w:tc>
        <w:tc>
          <w:tcPr>
            <w:tcW w:type="dxa" w:w="134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Bron</w:t>
            </w:r>
          </w:p>
        </w:tc>
        <w:tc>
          <w:tcPr>
            <w:tcW w:type="dxa" w:w="134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Target</w:t>
            </w:r>
          </w:p>
        </w:tc>
        <w:tc>
          <w:tcPr>
            <w:tcW w:type="dxa" w:w="134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Drempel</w:t>
            </w:r>
          </w:p>
        </w:tc>
      </w:tr>
      <w:tr>
        <w:tc>
          <w:tcPr>
            <w:tcW w:type="dxa" w:w="1344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R-01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LTIF (Lost Time Injury Frequency)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Per mln uur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Maandelijks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Incident register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0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&gt;0</w:t>
            </w:r>
          </w:p>
        </w:tc>
      </w:tr>
      <w:tr>
        <w:tc>
          <w:tcPr>
            <w:tcW w:type="dxa" w:w="1344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R-02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TRIR (Total Recordable Incident Rate)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Per mln uur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Maandelijks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Incident register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&lt;1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&gt;2</w:t>
            </w:r>
          </w:p>
        </w:tc>
      </w:tr>
      <w:tr>
        <w:tc>
          <w:tcPr>
            <w:tcW w:type="dxa" w:w="1344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R-03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Near-misses gerapporteerd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Aantal/maand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Maandelijks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Incident register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&gt;5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&lt;2</w:t>
            </w:r>
          </w:p>
        </w:tc>
      </w:tr>
      <w:tr>
        <w:tc>
          <w:tcPr>
            <w:tcW w:type="dxa" w:w="1344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R-04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Process Safety Events (PSE) Tier 1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Aantal/kwartaal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Kwartaal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Incident register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0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&gt;0</w:t>
            </w:r>
          </w:p>
        </w:tc>
      </w:tr>
      <w:tr>
        <w:tc>
          <w:tcPr>
            <w:tcW w:type="dxa" w:w="1344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R-05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Process Safety Events (PSE) Tier 2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Aantal/kwartaal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Kwartaal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Incident register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&lt;1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&gt;2</w:t>
            </w:r>
          </w:p>
        </w:tc>
      </w:tr>
      <w:tr>
        <w:tc>
          <w:tcPr>
            <w:tcW w:type="dxa" w:w="1344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R-06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Lekkages stoffen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Aantal/maand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Maandelijks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Inspectie register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0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&gt;1</w:t>
            </w:r>
          </w:p>
        </w:tc>
      </w:tr>
      <w:tr>
        <w:tc>
          <w:tcPr>
            <w:tcW w:type="dxa" w:w="1344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R-07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Brandalarmen/onbedoelde ontsteking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Aantal/kwartaal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Kwartaal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Brandalarm log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0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&gt;0</w:t>
            </w:r>
          </w:p>
        </w:tc>
      </w:tr>
      <w:tr>
        <w:tc>
          <w:tcPr>
            <w:tcW w:type="dxa" w:w="1344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R-08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Overtredingen vergunningvoorwaarden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Aantal/maand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Maandelijks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CoW systeem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0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&gt;2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5. Rapportage Structuur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Frequentie</w:t>
            </w:r>
          </w:p>
        </w:tc>
        <w:tc>
          <w:tcPr>
            <w:tcW w:type="dxa" w:w="2351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Inhoud</w:t>
            </w:r>
          </w:p>
        </w:tc>
        <w:tc>
          <w:tcPr>
            <w:tcW w:type="dxa" w:w="2351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Verantwoordelijke</w:t>
            </w:r>
          </w:p>
        </w:tc>
        <w:tc>
          <w:tcPr>
            <w:tcW w:type="dxa" w:w="2351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Doelgroep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Wekelijks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Leading indicators dashboard (L-01 t/m L-10)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HSEQ Specialist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Operationeel management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Maandelijks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Volledige KPI rapport (L + R) + management review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HSEQ Manager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Directie + HSEQ team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Kwartaal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Trendanalyse + benchmark + actieplan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HSEQ Manager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Directie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Jaarlijks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Jaarrapport + doelstellingen volgend jaar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Directie + HSEQ Manager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Stakeholders + toezichthouder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6. Escalatie Protocol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Status</w:t>
            </w:r>
          </w:p>
        </w:tc>
        <w:tc>
          <w:tcPr>
            <w:tcW w:type="dxa" w:w="2351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Conditie</w:t>
            </w:r>
          </w:p>
        </w:tc>
        <w:tc>
          <w:tcPr>
            <w:tcW w:type="dxa" w:w="2351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Actie</w:t>
            </w:r>
          </w:p>
        </w:tc>
        <w:tc>
          <w:tcPr>
            <w:tcW w:type="dxa" w:w="2351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Termijn</w:t>
            </w:r>
          </w:p>
        </w:tc>
      </w:tr>
      <w:tr>
        <w:tc>
          <w:tcPr>
            <w:tcW w:type="dxa" w:w="2351"/>
            <w:shd w:fill="92D050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Groen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KPI op of boven target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Standaard rapportage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Regulier</w:t>
            </w:r>
          </w:p>
        </w:tc>
      </w:tr>
      <w:tr>
        <w:tc>
          <w:tcPr>
            <w:tcW w:type="dxa" w:w="2351"/>
            <w:shd w:fill="FFC000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Geel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KPI tussen target en drempelwaarde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Actie vereist + oorzaakanalyse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Binnen 1 week</w:t>
            </w:r>
          </w:p>
        </w:tc>
      </w:tr>
      <w:tr>
        <w:tc>
          <w:tcPr>
            <w:tcW w:type="dxa" w:w="2351"/>
            <w:shd w:fill="FF0000"/>
          </w:tcPr>
          <w:p>
            <w:r>
              <w:rPr>
                <w:color w:val="FFFFFF"/>
              </w:rPr>
            </w:r>
            <w:r>
              <w:rPr>
                <w:rFonts w:ascii="Calibri" w:hAnsi="Calibri"/>
                <w:b/>
                <w:color w:val="FFFFFF"/>
                <w:sz w:val="18"/>
              </w:rPr>
              <w:t>Rood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KPI onder drempelwaarde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Directe actie + management escalatie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Binnen 24 uur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7. Verbetercyclus (PDCA)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Fase</w:t>
            </w:r>
          </w:p>
        </w:tc>
        <w:tc>
          <w:tcPr>
            <w:tcW w:type="dxa" w:w="3135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Activiteit</w:t>
            </w:r>
          </w:p>
        </w:tc>
        <w:tc>
          <w:tcPr>
            <w:tcW w:type="dxa" w:w="3135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Frequentie</w:t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Plan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Doelstellingen vaststellen per jaar; KPI's en targets definiëren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Jaarlijks</w:t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Do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Meten, monitoren en rapporteren van alle KPI's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Continu</w:t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Check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Trendanalyse, benchmarking, identificatie afwijkingen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Kwartaal</w:t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Act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Bijsturing, correctieve acties, preventieve maatregelen implementeren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Naar aanleiding van Check</w:t>
            </w:r>
          </w:p>
        </w:tc>
      </w:tr>
    </w:tbl>
    <w:p>
      <w:r>
        <w:br w:type="page"/>
      </w:r>
    </w:p>
    <w:p>
      <w:pPr>
        <w:pStyle w:val="Heading2"/>
      </w:pPr>
      <w:r>
        <w:rPr>
          <w:color w:val="003366"/>
        </w:rPr>
        <w:t>Noodresponse KPI's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/>
            <w:r>
              <w:rPr>
                <w:rFonts w:ascii="Calibri" w:hAnsi="Calibri"/>
                <w:b/>
                <w:sz w:val="22"/>
              </w:rPr>
              <w:t>VBS Referentie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b/>
                <w:sz w:val="22"/>
              </w:rPr>
              <w:t>Document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b/>
                <w:sz w:val="22"/>
              </w:rPr>
              <w:t>Koppeling / Beschrijving</w:t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b w:val="0"/>
                <w:sz w:val="22"/>
              </w:rPr>
              <w:t>E4#03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b w:val="0"/>
                <w:sz w:val="22"/>
              </w:rPr>
              <w:t>BHV Organisatie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b w:val="0"/>
                <w:sz w:val="22"/>
              </w:rPr>
              <w:t>Responstijd BHV — target: &lt; 3 minuten</w:t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b w:val="0"/>
                <w:sz w:val="22"/>
              </w:rPr>
              <w:t>E4#07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b w:val="0"/>
                <w:sz w:val="22"/>
              </w:rPr>
              <w:t>Oefenprogramma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b w:val="0"/>
                <w:sz w:val="22"/>
              </w:rPr>
              <w:t>Oefenfrequentie — minimaal 4x per jaar per team</w:t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b w:val="0"/>
                <w:sz w:val="22"/>
              </w:rPr>
              <w:t>E4#05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b w:val="0"/>
                <w:sz w:val="22"/>
              </w:rPr>
              <w:t>Crisiscommunicatie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b w:val="0"/>
                <w:sz w:val="22"/>
              </w:rPr>
              <w:t>Crisiscommunicatie response tijd — target: &lt; 15 minuten</w:t>
            </w:r>
          </w:p>
        </w:tc>
      </w:tr>
    </w:tbl>
    <w:p>
      <w:pPr>
        <w:spacing w:before="120"/>
      </w:pPr>
      <w:r>
        <w:rPr>
          <w:rFonts w:ascii="Calibri" w:hAnsi="Calibri"/>
          <w:sz w:val="22"/>
        </w:rPr>
        <w:t>De KPI Matrix bevat noodresponse-indicatoren die de effectiviteit van de noodorganisatie meten. Deze KPI's worden kwartaallijks geëvalueerd en ingevoerd in het management review proces.</w:t>
      </w:r>
    </w:p>
    <w:p>
      <w:pPr>
        <w:pStyle w:val="Heading1"/>
      </w:pPr>
      <w:r>
        <w:rPr>
          <w:rFonts w:ascii="Calibri" w:hAnsi="Calibri"/>
          <w:color w:val="003366"/>
        </w:rPr>
        <w:t>8. Bronnenlijst</w:t>
      </w:r>
    </w:p>
    <w:p>
      <w:pPr>
        <w:spacing w:after="40"/>
      </w:pPr>
      <w:r>
        <w:t>[1] BRZO 2015, Artikel 7 — Controle op de exploitatie</w:t>
      </w:r>
    </w:p>
    <w:p>
      <w:pPr>
        <w:spacing w:after="40"/>
      </w:pPr>
      <w:r>
        <w:t>[2] NTA 8620 — Veiligheidsmanagementsysteem voor Seveso-inrichtingen</w:t>
      </w:r>
    </w:p>
    <w:p>
      <w:pPr>
        <w:spacing w:after="40"/>
      </w:pPr>
      <w:r>
        <w:t>[3] Element 1 Document #11 — Veiligheidsprestatie Indicatoren</w:t>
      </w:r>
    </w:p>
    <w:p>
      <w:pPr>
        <w:spacing w:after="40"/>
      </w:pPr>
      <w:r>
        <w:t>[4] Element 3 Document #09 — Inspectieprocedure</w:t>
      </w:r>
    </w:p>
    <w:p>
      <w:pPr>
        <w:spacing w:after="40"/>
      </w:pPr>
      <w:r>
        <w:t>[5] Element 3 Document #05 — Onderhoudsmanagement</w:t>
      </w:r>
    </w:p>
    <w:p>
      <w:pPr>
        <w:spacing w:after="40"/>
      </w:pPr>
      <w:r>
        <w:t>[6] Meta-Dossier VBS Element 3, versie 1.0 (2026-04-29)</w:t>
      </w:r>
    </w:p>
    <w:p>
      <w:pPr>
        <w:pStyle w:val="Heading1"/>
      </w:pPr>
      <w:r>
        <w:rPr>
          <w:rFonts w:ascii="Calibri" w:hAnsi="Calibri"/>
          <w:color w:val="003366"/>
        </w:rPr>
        <w:t>9. TierVerify Log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Controle</w:t>
            </w:r>
          </w:p>
        </w:tc>
        <w:tc>
          <w:tcPr>
            <w:tcW w:type="dxa" w:w="3135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Bron</w:t>
            </w:r>
          </w:p>
        </w:tc>
        <w:tc>
          <w:tcPr>
            <w:tcW w:type="dxa" w:w="3135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Status</w:t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KPI's gekoppeld aan BRZO Art. 7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BRZO 2015 [1]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Geverifieerd</w:t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Leading/Lagging balans aanwezig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NTA 8620 [2], Element 1 Doc #11 [3]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Geverifieerd</w:t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Targets en drempelwaarden gedefinieerd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Meta-Dossier [6]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Geverifieerd</w:t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Escalatieprotocol gedefinieerd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Best practice NTA 8620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Geverifieerd</w:t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Rapportagestructuur compleet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BRZO 2015 [1], Element 3 Doc #09 [4]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Geverifieerd</w:t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PDCA-cyclus geïntegreerd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ISO 45001 / NTA 8620 [2]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Geverifieerd</w:t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Koppeling onderhoud- en inspectiedocumenten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Element 3 Doc #05 [5], Doc #09 [4]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Geverifieerd</w:t>
            </w:r>
          </w:p>
        </w:tc>
      </w:tr>
    </w:tbl>
    <w:sectPr w:rsidR="00FC693F" w:rsidRPr="0006063C" w:rsidSect="00034616">
      <w:footerReference w:type="default" r:id="rId10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Calibri" w:hAnsi="Calibri"/>
        <w:sz w:val="18"/>
        <w:color w:val="666666"/>
      </w:rPr>
      <w:t>JvG Consultancy | Safety • Governance • Advisory | ©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