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Pre-Startup Safety Review (PSSR)</w:t>
      </w:r>
    </w:p>
    <w:p>
      <w:pPr>
        <w:jc w:val="center"/>
      </w:pPr>
      <w:r>
        <w:rPr>
          <w:color w:val="1F2937"/>
          <w:sz w:val="28"/>
        </w:rPr>
        <w:t>VBS Element 3 — Controle op de Exploitatie</w:t>
        <w:br/>
        <w:t>Document #8</w:t>
      </w:r>
    </w:p>
    <w:p>
      <w:pPr>
        <w:jc w:val="center"/>
      </w:pPr>
      <w:r>
        <w:rPr>
          <w:color w:val="1F2937"/>
          <w:sz w:val="24"/>
        </w:rPr>
        <w:t>Phoenix Metals — Vanadiumproductie uit Staalslakken</w:t>
      </w:r>
    </w:p>
    <w:p/>
    <w:p/>
    <w:p/>
    <w:p/>
    <w:tbl>
      <w:tblPr>
        <w:tblW w:type="auto" w:w="0"/>
        <w:jc w:val="center"/>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tcPr>
          <w:p>
            <w:pPr>
              <w:jc w:val="left"/>
            </w:pPr>
            <w:r>
              <w:rPr>
                <w:rFonts w:ascii="Calibri" w:hAnsi="Calibri"/>
                <w:b/>
                <w:sz w:val="20"/>
              </w:rPr>
              <w:t>Project</w:t>
            </w:r>
          </w:p>
        </w:tc>
        <w:tc>
          <w:tcPr>
            <w:tcW w:type="dxa" w:w="4703"/>
          </w:tcPr>
          <w:p>
            <w:pPr>
              <w:jc w:val="left"/>
            </w:pPr>
            <w:r>
              <w:rPr>
                <w:rFonts w:ascii="Calibri" w:hAnsi="Calibri"/>
                <w:sz w:val="20"/>
              </w:rPr>
              <w:t>2026-PM-VBS-Element3</w:t>
            </w:r>
          </w:p>
        </w:tc>
      </w:tr>
      <w:tr>
        <w:tc>
          <w:tcPr>
            <w:tcW w:type="dxa" w:w="4703"/>
          </w:tcPr>
          <w:p>
            <w:pPr>
              <w:jc w:val="left"/>
            </w:pPr>
            <w:r>
              <w:rPr>
                <w:rFonts w:ascii="Calibri" w:hAnsi="Calibri"/>
                <w:b/>
                <w:sz w:val="20"/>
              </w:rPr>
              <w:t>Type</w:t>
            </w:r>
          </w:p>
        </w:tc>
        <w:tc>
          <w:tcPr>
            <w:tcW w:type="dxa" w:w="4703"/>
          </w:tcPr>
          <w:p>
            <w:pPr>
              <w:jc w:val="left"/>
            </w:pPr>
            <w:r>
              <w:rPr>
                <w:rFonts w:ascii="Calibri" w:hAnsi="Calibri"/>
                <w:sz w:val="20"/>
              </w:rPr>
              <w:t>Procedure</w:t>
            </w:r>
          </w:p>
        </w:tc>
      </w:tr>
      <w:tr>
        <w:tc>
          <w:tcPr>
            <w:tcW w:type="dxa" w:w="4703"/>
          </w:tcPr>
          <w:p>
            <w:pPr>
              <w:jc w:val="left"/>
            </w:pPr>
            <w:r>
              <w:rPr>
                <w:rFonts w:ascii="Calibri" w:hAnsi="Calibri"/>
                <w:b/>
                <w:sz w:val="20"/>
              </w:rPr>
              <w:t>Auteur</w:t>
            </w:r>
          </w:p>
        </w:tc>
        <w:tc>
          <w:tcPr>
            <w:tcW w:type="dxa" w:w="4703"/>
          </w:tcPr>
          <w:p>
            <w:pPr>
              <w:jc w:val="left"/>
            </w:pPr>
            <w:r>
              <w:rPr>
                <w:rFonts w:ascii="Calibri" w:hAnsi="Calibri"/>
                <w:sz w:val="20"/>
              </w:rPr>
              <w:t>HQ_01 (HSEQ Specialist)</w:t>
            </w:r>
          </w:p>
        </w:tc>
      </w:tr>
      <w:tr>
        <w:tc>
          <w:tcPr>
            <w:tcW w:type="dxa" w:w="4703"/>
          </w:tcPr>
          <w:p>
            <w:pPr>
              <w:jc w:val="left"/>
            </w:pPr>
            <w:r>
              <w:rPr>
                <w:rFonts w:ascii="Calibri" w:hAnsi="Calibri"/>
                <w:b/>
                <w:sz w:val="20"/>
              </w:rPr>
              <w:t>Versie</w:t>
            </w:r>
          </w:p>
        </w:tc>
        <w:tc>
          <w:tcPr>
            <w:tcW w:type="dxa" w:w="4703"/>
          </w:tcPr>
          <w:p>
            <w:pPr>
              <w:jc w:val="left"/>
            </w:pPr>
            <w:r>
              <w:rPr>
                <w:rFonts w:ascii="Calibri" w:hAnsi="Calibri"/>
                <w:sz w:val="20"/>
              </w:rPr>
              <w:t>1.0</w:t>
            </w:r>
          </w:p>
        </w:tc>
      </w:tr>
      <w:tr>
        <w:tc>
          <w:tcPr>
            <w:tcW w:type="dxa" w:w="4703"/>
          </w:tcPr>
          <w:p>
            <w:pPr>
              <w:jc w:val="left"/>
            </w:pPr>
            <w:r>
              <w:rPr>
                <w:rFonts w:ascii="Calibri" w:hAnsi="Calibri"/>
                <w:b/>
                <w:sz w:val="20"/>
              </w:rPr>
              <w:t>Datum</w:t>
            </w:r>
          </w:p>
        </w:tc>
        <w:tc>
          <w:tcPr>
            <w:tcW w:type="dxa" w:w="4703"/>
          </w:tcPr>
          <w:p>
            <w:pPr>
              <w:jc w:val="left"/>
            </w:pPr>
            <w:r>
              <w:rPr>
                <w:rFonts w:ascii="Calibri" w:hAnsi="Calibri"/>
                <w:sz w:val="20"/>
              </w:rPr>
              <w:t>2026-04-29</w:t>
            </w:r>
          </w:p>
        </w:tc>
      </w:tr>
      <w:tr>
        <w:tc>
          <w:tcPr>
            <w:tcW w:type="dxa" w:w="4703"/>
          </w:tcPr>
          <w:p>
            <w:pPr>
              <w:jc w:val="left"/>
            </w:pPr>
            <w:r>
              <w:rPr>
                <w:rFonts w:ascii="Calibri" w:hAnsi="Calibri"/>
                <w:b/>
                <w:sz w:val="20"/>
              </w:rPr>
              <w:t>Status</w:t>
            </w:r>
          </w:p>
        </w:tc>
        <w:tc>
          <w:tcPr>
            <w:tcW w:type="dxa" w:w="4703"/>
          </w:tcPr>
          <w:p>
            <w:pPr>
              <w:jc w:val="left"/>
            </w:pPr>
            <w:r>
              <w:rPr>
                <w:rFonts w:ascii="Calibri" w:hAnsi="Calibri"/>
                <w:sz w:val="20"/>
              </w:rPr>
              <w:t>Final</w:t>
            </w:r>
          </w:p>
        </w:tc>
      </w:tr>
      <w:tr>
        <w:tc>
          <w:tcPr>
            <w:tcW w:type="dxa" w:w="4703"/>
          </w:tcPr>
          <w:p>
            <w:pPr>
              <w:jc w:val="left"/>
            </w:pPr>
            <w:r>
              <w:rPr>
                <w:rFonts w:ascii="Calibri" w:hAnsi="Calibri"/>
                <w:b/>
                <w:sz w:val="20"/>
              </w:rPr>
              <w:t>Refertecode</w:t>
            </w:r>
          </w:p>
        </w:tc>
        <w:tc>
          <w:tcPr>
            <w:tcW w:type="dxa" w:w="4703"/>
          </w:tcPr>
          <w:p>
            <w:pPr>
              <w:jc w:val="left"/>
            </w:pPr>
            <w:r>
              <w:rPr>
                <w:rFonts w:ascii="Calibri" w:hAnsi="Calibri"/>
                <w:sz w:val="20"/>
              </w:rPr>
              <w:t>HS-P-0018</w:t>
            </w:r>
          </w:p>
        </w:tc>
      </w:tr>
    </w:tbl>
    <w:p>
      <w:r>
        <w:br w:type="page"/>
      </w:r>
    </w:p>
    <w:p>
      <w:pPr>
        <w:pStyle w:val="Heading1"/>
      </w:pPr>
      <w:r>
        <w:rPr>
          <w:color w:val="003366"/>
        </w:rPr>
        <w:t>Documentbeheersing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Auteur</w:t>
            </w:r>
          </w:p>
        </w:tc>
        <w:tc>
          <w:tcPr>
            <w:tcW w:type="dxa" w:w="2351"/>
            <w:shd w:fill="003366" w:val="clear"/>
          </w:tcPr>
          <w:p>
            <w:pPr>
              <w:jc w:val="left"/>
            </w:pPr>
            <w:r/>
            <w:r>
              <w:rPr>
                <w:rFonts w:ascii="Calibri" w:hAnsi="Calibri"/>
                <w:b/>
                <w:color w:val="FFFFFF"/>
                <w:sz w:val="20"/>
              </w:rPr>
              <w:t>Wijziging</w:t>
            </w:r>
          </w:p>
        </w:tc>
      </w:tr>
      <w:tr>
        <w:tc>
          <w:tcPr>
            <w:tcW w:type="dxa" w:w="2351"/>
          </w:tcPr>
          <w:p>
            <w:r/>
            <w:r>
              <w:rPr>
                <w:rFonts w:ascii="Calibri" w:hAnsi="Calibri"/>
                <w:color w:val="1F2937"/>
                <w:sz w:val="20"/>
              </w:rPr>
              <w:t>1.0</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HQ_01</w:t>
            </w:r>
          </w:p>
        </w:tc>
        <w:tc>
          <w:tcPr>
            <w:tcW w:type="dxa" w:w="2351"/>
          </w:tcPr>
          <w:p>
            <w:r/>
            <w:r>
              <w:rPr>
                <w:rFonts w:ascii="Calibri" w:hAnsi="Calibri"/>
                <w:color w:val="1F2937"/>
                <w:sz w:val="20"/>
              </w:rPr>
              <w:t>Eerste versie — VBS Element 3 Doc #8</w:t>
            </w:r>
          </w:p>
        </w:tc>
      </w:tr>
    </w:tbl>
    <w:p/>
    <w:p>
      <w:r>
        <w:rPr>
          <w:b/>
          <w:sz w:val="22"/>
        </w:rPr>
        <w:t>Goedkeuring: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Rol</w:t>
            </w:r>
          </w:p>
        </w:tc>
        <w:tc>
          <w:tcPr>
            <w:tcW w:type="dxa" w:w="2351"/>
            <w:shd w:fill="003366" w:val="clear"/>
          </w:tcPr>
          <w:p>
            <w:pPr>
              <w:jc w:val="left"/>
            </w:pPr>
            <w:r/>
            <w:r>
              <w:rPr>
                <w:rFonts w:ascii="Calibri" w:hAnsi="Calibri"/>
                <w:b/>
                <w:color w:val="FFFFFF"/>
                <w:sz w:val="20"/>
              </w:rPr>
              <w:t>Naam</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Handtekening</w:t>
            </w:r>
          </w:p>
        </w:tc>
      </w:tr>
      <w:tr>
        <w:tc>
          <w:tcPr>
            <w:tcW w:type="dxa" w:w="2351"/>
          </w:tcPr>
          <w:p>
            <w:r/>
            <w:r>
              <w:rPr>
                <w:rFonts w:ascii="Calibri" w:hAnsi="Calibri"/>
                <w:color w:val="1F2937"/>
                <w:sz w:val="20"/>
              </w:rPr>
              <w:t>HSEQ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Plant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rPr>
          <w:color w:val="003366"/>
        </w:rPr>
        <w:t>1. Doel en Scope</w:t>
      </w:r>
    </w:p>
    <w:p>
      <w:pPr>
        <w:pStyle w:val="Heading2"/>
      </w:pPr>
      <w:r>
        <w:rPr>
          <w:color w:val="003366"/>
        </w:rPr>
        <w:t>1.1 Doel</w:t>
      </w:r>
    </w:p>
    <w:p>
      <w:r>
        <w:t>Deze procedure definieert de systematische veiligheidsreview (Pre-Startup Safety Review, PSSR) die wordt uitgevoerd voorafgaand aan ingebruikname van installaties na onderhoud, modificatie, of plaatsing van nieuwe installatieonderdelen bij Phoenix Metals [1]. Het doel is te verifiëren dat alle veiligheidskritische voorzieningen correct zijn geïnstalleerd, getest en gedocumenteerd voordat een installatie in bedrijf wordt gesteld.</w:t>
      </w:r>
    </w:p>
    <w:p>
      <w:pPr>
        <w:pStyle w:val="Heading2"/>
      </w:pPr>
      <w:r>
        <w:rPr>
          <w:color w:val="003366"/>
        </w:rPr>
        <w:t>1.2 Scope</w:t>
      </w:r>
    </w:p>
    <w:p>
      <w:r>
        <w:t>Deze procedure is van toepassing op alle wijzigingen aan kritieke procesinstallaties bij Phoenix Metals, inclusief de vanadiumproductie-installatie (roosteenheid, uitlooginstallatie, opwerkingsinstallatie) en alle gerelateerde hulpsystemen [5]. De procedure omvat:</w:t>
      </w:r>
    </w:p>
    <w:p>
      <w:pPr>
        <w:pStyle w:val="ListBullet"/>
      </w:pPr>
      <w:r>
        <w:t>Nieuwe installaties en installatieonderdelen</w:t>
      </w:r>
    </w:p>
    <w:p>
      <w:pPr>
        <w:pStyle w:val="ListBullet"/>
      </w:pPr>
      <w:r>
        <w:t>Grote en kleine modificaties (gekoppeld aan Management of Change, VBS Element V)</w:t>
      </w:r>
    </w:p>
    <w:p>
      <w:pPr>
        <w:pStyle w:val="ListBullet"/>
      </w:pPr>
      <w:r>
        <w:t>Correctief onderhoud aan kritieke onderdelen (gekoppeld aan FMECA, Element 2 Doc #04) [4]</w:t>
      </w:r>
    </w:p>
    <w:p>
      <w:pPr>
        <w:pStyle w:val="ListBullet"/>
      </w:pPr>
      <w:r>
        <w:t>Herstart na langere stilstand (&gt;30 dagen)</w:t>
      </w:r>
    </w:p>
    <w:p>
      <w:pPr>
        <w:pStyle w:val="Heading2"/>
      </w:pPr>
      <w:r>
        <w:rPr>
          <w:color w:val="003366"/>
        </w:rPr>
        <w:t>1.3 Koppeling met andere documenten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Document</w:t>
            </w:r>
          </w:p>
        </w:tc>
        <w:tc>
          <w:tcPr>
            <w:tcW w:type="dxa" w:w="3135"/>
            <w:shd w:fill="003366" w:val="clear"/>
          </w:tcPr>
          <w:p>
            <w:pPr>
              <w:jc w:val="left"/>
            </w:pPr>
            <w:r/>
            <w:r>
              <w:rPr>
                <w:rFonts w:ascii="Calibri" w:hAnsi="Calibri"/>
                <w:b/>
                <w:color w:val="FFFFFF"/>
                <w:sz w:val="20"/>
              </w:rPr>
              <w:t>Referentie</w:t>
            </w:r>
          </w:p>
        </w:tc>
        <w:tc>
          <w:tcPr>
            <w:tcW w:type="dxa" w:w="3135"/>
            <w:shd w:fill="003366" w:val="clear"/>
          </w:tcPr>
          <w:p>
            <w:pPr>
              <w:jc w:val="left"/>
            </w:pPr>
            <w:r/>
            <w:r>
              <w:rPr>
                <w:rFonts w:ascii="Calibri" w:hAnsi="Calibri"/>
                <w:b/>
                <w:color w:val="FFFFFF"/>
                <w:sz w:val="20"/>
              </w:rPr>
              <w:t>Koppeling</w:t>
            </w:r>
          </w:p>
        </w:tc>
      </w:tr>
      <w:tr>
        <w:tc>
          <w:tcPr>
            <w:tcW w:type="dxa" w:w="3135"/>
          </w:tcPr>
          <w:p>
            <w:r/>
            <w:r>
              <w:rPr>
                <w:rFonts w:ascii="Calibri" w:hAnsi="Calibri"/>
                <w:color w:val="1F2937"/>
                <w:sz w:val="20"/>
              </w:rPr>
              <w:t>Management of Change</w:t>
            </w:r>
          </w:p>
        </w:tc>
        <w:tc>
          <w:tcPr>
            <w:tcW w:type="dxa" w:w="3135"/>
          </w:tcPr>
          <w:p>
            <w:r/>
            <w:r>
              <w:rPr>
                <w:rFonts w:ascii="Calibri" w:hAnsi="Calibri"/>
                <w:color w:val="1F2937"/>
                <w:sz w:val="20"/>
              </w:rPr>
              <w:t>VBS Element V</w:t>
            </w:r>
          </w:p>
        </w:tc>
        <w:tc>
          <w:tcPr>
            <w:tcW w:type="dxa" w:w="3135"/>
          </w:tcPr>
          <w:p>
            <w:r/>
            <w:r>
              <w:rPr>
                <w:rFonts w:ascii="Calibri" w:hAnsi="Calibri"/>
                <w:color w:val="1F2937"/>
                <w:sz w:val="20"/>
              </w:rPr>
              <w:t>MoC goedkeuring is voorwaarde voor PSSR</w:t>
            </w:r>
          </w:p>
        </w:tc>
      </w:tr>
      <w:tr>
        <w:tc>
          <w:tcPr>
            <w:tcW w:type="dxa" w:w="3135"/>
            <w:shd w:fill="F8F9FA" w:val="clear"/>
          </w:tcPr>
          <w:p>
            <w:r/>
            <w:r>
              <w:rPr>
                <w:rFonts w:ascii="Calibri" w:hAnsi="Calibri"/>
                <w:color w:val="1F2937"/>
                <w:sz w:val="20"/>
              </w:rPr>
              <w:t>FMECA</w:t>
            </w:r>
          </w:p>
        </w:tc>
        <w:tc>
          <w:tcPr>
            <w:tcW w:type="dxa" w:w="3135"/>
            <w:shd w:fill="F8F9FA" w:val="clear"/>
          </w:tcPr>
          <w:p>
            <w:r/>
            <w:r>
              <w:rPr>
                <w:rFonts w:ascii="Calibri" w:hAnsi="Calibri"/>
                <w:color w:val="1F2937"/>
                <w:sz w:val="20"/>
              </w:rPr>
              <w:t>Element 2 Doc #04</w:t>
            </w:r>
          </w:p>
        </w:tc>
        <w:tc>
          <w:tcPr>
            <w:tcW w:type="dxa" w:w="3135"/>
            <w:shd w:fill="F8F9FA" w:val="clear"/>
          </w:tcPr>
          <w:p>
            <w:r/>
            <w:r>
              <w:rPr>
                <w:rFonts w:ascii="Calibri" w:hAnsi="Calibri"/>
                <w:color w:val="1F2937"/>
                <w:sz w:val="20"/>
              </w:rPr>
              <w:t>Kritieke onderdelen bepalen PSSR-diepgang</w:t>
            </w:r>
          </w:p>
        </w:tc>
      </w:tr>
      <w:tr>
        <w:tc>
          <w:tcPr>
            <w:tcW w:type="dxa" w:w="3135"/>
          </w:tcPr>
          <w:p>
            <w:r/>
            <w:r>
              <w:rPr>
                <w:rFonts w:ascii="Calibri" w:hAnsi="Calibri"/>
                <w:color w:val="1F2937"/>
                <w:sz w:val="20"/>
              </w:rPr>
              <w:t>Control of Work</w:t>
            </w:r>
          </w:p>
        </w:tc>
        <w:tc>
          <w:tcPr>
            <w:tcW w:type="dxa" w:w="3135"/>
          </w:tcPr>
          <w:p>
            <w:r/>
            <w:r>
              <w:rPr>
                <w:rFonts w:ascii="Calibri" w:hAnsi="Calibri"/>
                <w:color w:val="1F2937"/>
                <w:sz w:val="20"/>
              </w:rPr>
              <w:t>PE-290-01</w:t>
            </w:r>
          </w:p>
        </w:tc>
        <w:tc>
          <w:tcPr>
            <w:tcW w:type="dxa" w:w="3135"/>
          </w:tcPr>
          <w:p>
            <w:r/>
            <w:r>
              <w:rPr>
                <w:rFonts w:ascii="Calibri" w:hAnsi="Calibri"/>
                <w:color w:val="1F2937"/>
                <w:sz w:val="20"/>
              </w:rPr>
              <w:t>Werkvergunningen gesloten voor PSSR</w:t>
            </w:r>
          </w:p>
        </w:tc>
      </w:tr>
      <w:tr>
        <w:tc>
          <w:tcPr>
            <w:tcW w:type="dxa" w:w="3135"/>
            <w:shd w:fill="F8F9FA" w:val="clear"/>
          </w:tcPr>
          <w:p>
            <w:r/>
            <w:r>
              <w:rPr>
                <w:rFonts w:ascii="Calibri" w:hAnsi="Calibri"/>
                <w:color w:val="1F2937"/>
                <w:sz w:val="20"/>
              </w:rPr>
              <w:t>TRA</w:t>
            </w:r>
          </w:p>
        </w:tc>
        <w:tc>
          <w:tcPr>
            <w:tcW w:type="dxa" w:w="3135"/>
            <w:shd w:fill="F8F9FA" w:val="clear"/>
          </w:tcPr>
          <w:p>
            <w:r/>
            <w:r>
              <w:rPr>
                <w:rFonts w:ascii="Calibri" w:hAnsi="Calibri"/>
                <w:color w:val="1F2937"/>
                <w:sz w:val="20"/>
              </w:rPr>
              <w:t>PE-290-01</w:t>
            </w:r>
          </w:p>
        </w:tc>
        <w:tc>
          <w:tcPr>
            <w:tcW w:type="dxa" w:w="3135"/>
            <w:shd w:fill="F8F9FA" w:val="clear"/>
          </w:tcPr>
          <w:p>
            <w:r/>
            <w:r>
              <w:rPr>
                <w:rFonts w:ascii="Calibri" w:hAnsi="Calibri"/>
                <w:color w:val="1F2937"/>
                <w:sz w:val="20"/>
              </w:rPr>
              <w:t>Taakrisicoanalyse afgerond voorafgaand aan werk</w:t>
            </w:r>
          </w:p>
        </w:tc>
      </w:tr>
      <w:tr>
        <w:tc>
          <w:tcPr>
            <w:tcW w:type="dxa" w:w="3135"/>
          </w:tcPr>
          <w:p>
            <w:r/>
            <w:r>
              <w:rPr>
                <w:rFonts w:ascii="Calibri" w:hAnsi="Calibri"/>
                <w:color w:val="1F2937"/>
                <w:sz w:val="20"/>
              </w:rPr>
              <w:t>LOTO</w:t>
            </w:r>
          </w:p>
        </w:tc>
        <w:tc>
          <w:tcPr>
            <w:tcW w:type="dxa" w:w="3135"/>
          </w:tcPr>
          <w:p>
            <w:r/>
            <w:r>
              <w:rPr>
                <w:rFonts w:ascii="Calibri" w:hAnsi="Calibri"/>
                <w:color w:val="1F2937"/>
                <w:sz w:val="20"/>
              </w:rPr>
              <w:t>PE-290-01</w:t>
            </w:r>
          </w:p>
        </w:tc>
        <w:tc>
          <w:tcPr>
            <w:tcW w:type="dxa" w:w="3135"/>
          </w:tcPr>
          <w:p>
            <w:r/>
            <w:r>
              <w:rPr>
                <w:rFonts w:ascii="Calibri" w:hAnsi="Calibri"/>
                <w:color w:val="1F2937"/>
                <w:sz w:val="20"/>
              </w:rPr>
              <w:t>Lock-Out/Tag-Off verwijderd na PSSR Go</w:t>
            </w:r>
          </w:p>
        </w:tc>
      </w:tr>
      <w:tr>
        <w:tc>
          <w:tcPr>
            <w:tcW w:type="dxa" w:w="3135"/>
            <w:shd w:fill="F8F9FA" w:val="clear"/>
          </w:tcPr>
          <w:p>
            <w:r/>
            <w:r>
              <w:rPr>
                <w:rFonts w:ascii="Calibri" w:hAnsi="Calibri"/>
                <w:color w:val="1F2937"/>
                <w:sz w:val="20"/>
              </w:rPr>
              <w:t>Overbrugging</w:t>
            </w:r>
          </w:p>
        </w:tc>
        <w:tc>
          <w:tcPr>
            <w:tcW w:type="dxa" w:w="3135"/>
            <w:shd w:fill="F8F9FA" w:val="clear"/>
          </w:tcPr>
          <w:p>
            <w:r/>
            <w:r>
              <w:rPr>
                <w:rFonts w:ascii="Calibri" w:hAnsi="Calibri"/>
                <w:color w:val="1F2937"/>
                <w:sz w:val="20"/>
              </w:rPr>
              <w:t>PE-140-19</w:t>
            </w:r>
          </w:p>
        </w:tc>
        <w:tc>
          <w:tcPr>
            <w:tcW w:type="dxa" w:w="3135"/>
            <w:shd w:fill="F8F9FA" w:val="clear"/>
          </w:tcPr>
          <w:p>
            <w:r/>
            <w:r>
              <w:rPr>
                <w:rFonts w:ascii="Calibri" w:hAnsi="Calibri"/>
                <w:color w:val="1F2937"/>
                <w:sz w:val="20"/>
              </w:rPr>
              <w:t>Alle overbruggingen teruggeplaatst</w:t>
            </w:r>
          </w:p>
        </w:tc>
      </w:tr>
    </w:tbl>
    <w:p>
      <w:r>
        <w:br w:type="page"/>
      </w:r>
    </w:p>
    <w:p>
      <w:pPr>
        <w:pStyle w:val="Heading1"/>
      </w:pPr>
      <w:r>
        <w:rPr>
          <w:color w:val="003366"/>
        </w:rPr>
        <w:t>2. Wettelijk Kader</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Wetgeving</w:t>
            </w:r>
          </w:p>
        </w:tc>
        <w:tc>
          <w:tcPr>
            <w:tcW w:type="dxa" w:w="3135"/>
            <w:shd w:fill="003366" w:val="clear"/>
          </w:tcPr>
          <w:p>
            <w:pPr>
              <w:jc w:val="left"/>
            </w:pPr>
            <w:r/>
            <w:r>
              <w:rPr>
                <w:rFonts w:ascii="Calibri" w:hAnsi="Calibri"/>
                <w:b/>
                <w:color w:val="FFFFFF"/>
                <w:sz w:val="20"/>
              </w:rPr>
              <w:t>Artikel</w:t>
            </w:r>
          </w:p>
        </w:tc>
        <w:tc>
          <w:tcPr>
            <w:tcW w:type="dxa" w:w="3135"/>
            <w:shd w:fill="003366" w:val="clear"/>
          </w:tcPr>
          <w:p>
            <w:pPr>
              <w:jc w:val="left"/>
            </w:pPr>
            <w:r/>
            <w:r>
              <w:rPr>
                <w:rFonts w:ascii="Calibri" w:hAnsi="Calibri"/>
                <w:b/>
                <w:color w:val="FFFFFF"/>
                <w:sz w:val="20"/>
              </w:rPr>
              <w:t>Relevantie</w:t>
            </w:r>
          </w:p>
        </w:tc>
      </w:tr>
      <w:tr>
        <w:tc>
          <w:tcPr>
            <w:tcW w:type="dxa" w:w="3135"/>
          </w:tcPr>
          <w:p>
            <w:r/>
            <w:r>
              <w:rPr>
                <w:rFonts w:ascii="Calibri" w:hAnsi="Calibri"/>
                <w:color w:val="1F2937"/>
                <w:sz w:val="20"/>
              </w:rPr>
              <w:t>BRZO 2015 [2]</w:t>
            </w:r>
          </w:p>
        </w:tc>
        <w:tc>
          <w:tcPr>
            <w:tcW w:type="dxa" w:w="3135"/>
          </w:tcPr>
          <w:p>
            <w:r/>
            <w:r>
              <w:rPr>
                <w:rFonts w:ascii="Calibri" w:hAnsi="Calibri"/>
                <w:color w:val="1F2937"/>
                <w:sz w:val="20"/>
              </w:rPr>
              <w:t>Art. 7, Art. 10</w:t>
            </w:r>
          </w:p>
        </w:tc>
        <w:tc>
          <w:tcPr>
            <w:tcW w:type="dxa" w:w="3135"/>
          </w:tcPr>
          <w:p>
            <w:r/>
            <w:r>
              <w:rPr>
                <w:rFonts w:ascii="Calibri" w:hAnsi="Calibri"/>
                <w:color w:val="1F2937"/>
                <w:sz w:val="20"/>
              </w:rPr>
              <w:t>Vereist systematische beheersing van exploitatie en ingebruikname</w:t>
            </w:r>
          </w:p>
        </w:tc>
      </w:tr>
      <w:tr>
        <w:tc>
          <w:tcPr>
            <w:tcW w:type="dxa" w:w="3135"/>
            <w:shd w:fill="F8F9FA" w:val="clear"/>
          </w:tcPr>
          <w:p>
            <w:r/>
            <w:r>
              <w:rPr>
                <w:rFonts w:ascii="Calibri" w:hAnsi="Calibri"/>
                <w:color w:val="1F2937"/>
                <w:sz w:val="20"/>
              </w:rPr>
              <w:t>NTA 8620 [3]</w:t>
            </w:r>
          </w:p>
        </w:tc>
        <w:tc>
          <w:tcPr>
            <w:tcW w:type="dxa" w:w="3135"/>
            <w:shd w:fill="F8F9FA" w:val="clear"/>
          </w:tcPr>
          <w:p>
            <w:r/>
            <w:r>
              <w:rPr>
                <w:rFonts w:ascii="Calibri" w:hAnsi="Calibri"/>
                <w:color w:val="1F2937"/>
                <w:sz w:val="20"/>
              </w:rPr>
              <w:t>Hoofdstuk 10</w:t>
            </w:r>
          </w:p>
        </w:tc>
        <w:tc>
          <w:tcPr>
            <w:tcW w:type="dxa" w:w="3135"/>
            <w:shd w:fill="F8F9FA" w:val="clear"/>
          </w:tcPr>
          <w:p>
            <w:r/>
            <w:r>
              <w:rPr>
                <w:rFonts w:ascii="Calibri" w:hAnsi="Calibri"/>
                <w:color w:val="1F2937"/>
                <w:sz w:val="20"/>
              </w:rPr>
              <w:t>PSSR als onderdeel van Controle op de Exploitatie</w:t>
            </w:r>
          </w:p>
        </w:tc>
      </w:tr>
      <w:tr>
        <w:tc>
          <w:tcPr>
            <w:tcW w:type="dxa" w:w="3135"/>
          </w:tcPr>
          <w:p>
            <w:r/>
            <w:r>
              <w:rPr>
                <w:rFonts w:ascii="Calibri" w:hAnsi="Calibri"/>
                <w:color w:val="1F2937"/>
                <w:sz w:val="20"/>
              </w:rPr>
              <w:t>Seveso III (2012/18/EU)</w:t>
            </w:r>
          </w:p>
        </w:tc>
        <w:tc>
          <w:tcPr>
            <w:tcW w:type="dxa" w:w="3135"/>
          </w:tcPr>
          <w:p>
            <w:r/>
            <w:r>
              <w:rPr>
                <w:rFonts w:ascii="Calibri" w:hAnsi="Calibri"/>
                <w:color w:val="1F2937"/>
                <w:sz w:val="20"/>
              </w:rPr>
              <w:t>Art. 12</w:t>
            </w:r>
          </w:p>
        </w:tc>
        <w:tc>
          <w:tcPr>
            <w:tcW w:type="dxa" w:w="3135"/>
          </w:tcPr>
          <w:p>
            <w:r/>
            <w:r>
              <w:rPr>
                <w:rFonts w:ascii="Calibri" w:hAnsi="Calibri"/>
                <w:color w:val="1F2937"/>
                <w:sz w:val="20"/>
              </w:rPr>
              <w:t>Vereist Melding en preventiebeleid inclusief startup-procedures</w:t>
            </w:r>
          </w:p>
        </w:tc>
      </w:tr>
      <w:tr>
        <w:tc>
          <w:tcPr>
            <w:tcW w:type="dxa" w:w="3135"/>
            <w:shd w:fill="F8F9FA" w:val="clear"/>
          </w:tcPr>
          <w:p>
            <w:r/>
            <w:r>
              <w:rPr>
                <w:rFonts w:ascii="Calibri" w:hAnsi="Calibri"/>
                <w:color w:val="1F2937"/>
                <w:sz w:val="20"/>
              </w:rPr>
              <w:t>Arbobesluit</w:t>
            </w:r>
          </w:p>
        </w:tc>
        <w:tc>
          <w:tcPr>
            <w:tcW w:type="dxa" w:w="3135"/>
            <w:shd w:fill="F8F9FA" w:val="clear"/>
          </w:tcPr>
          <w:p>
            <w:r/>
            <w:r>
              <w:rPr>
                <w:rFonts w:ascii="Calibri" w:hAnsi="Calibri"/>
                <w:color w:val="1F2937"/>
                <w:sz w:val="20"/>
              </w:rPr>
              <w:t>Diverse</w:t>
            </w:r>
          </w:p>
        </w:tc>
        <w:tc>
          <w:tcPr>
            <w:tcW w:type="dxa" w:w="3135"/>
            <w:shd w:fill="F8F9FA" w:val="clear"/>
          </w:tcPr>
          <w:p>
            <w:r/>
            <w:r>
              <w:rPr>
                <w:rFonts w:ascii="Calibri" w:hAnsi="Calibri"/>
                <w:color w:val="1F2937"/>
                <w:sz w:val="20"/>
              </w:rPr>
              <w:t>Algemene zorgplicht, RI&amp;E, veilig werken</w:t>
            </w:r>
          </w:p>
        </w:tc>
      </w:tr>
    </w:tbl>
    <w:p>
      <w:r>
        <w:br w:type="page"/>
      </w:r>
    </w:p>
    <w:p>
      <w:pPr>
        <w:pStyle w:val="Heading1"/>
      </w:pPr>
      <w:r>
        <w:rPr>
          <w:color w:val="003366"/>
        </w:rPr>
        <w:t>3. Definities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shd w:fill="003366" w:val="clear"/>
          </w:tcPr>
          <w:p>
            <w:pPr>
              <w:jc w:val="left"/>
            </w:pPr>
            <w:r/>
            <w:r>
              <w:rPr>
                <w:rFonts w:ascii="Calibri" w:hAnsi="Calibri"/>
                <w:b/>
                <w:color w:val="FFFFFF"/>
                <w:sz w:val="20"/>
              </w:rPr>
              <w:t>Term</w:t>
            </w:r>
          </w:p>
        </w:tc>
        <w:tc>
          <w:tcPr>
            <w:tcW w:type="dxa" w:w="4703"/>
            <w:shd w:fill="003366" w:val="clear"/>
          </w:tcPr>
          <w:p>
            <w:pPr>
              <w:jc w:val="left"/>
            </w:pPr>
            <w:r/>
            <w:r>
              <w:rPr>
                <w:rFonts w:ascii="Calibri" w:hAnsi="Calibri"/>
                <w:b/>
                <w:color w:val="FFFFFF"/>
                <w:sz w:val="20"/>
              </w:rPr>
              <w:t>Definitie</w:t>
            </w:r>
          </w:p>
        </w:tc>
      </w:tr>
      <w:tr>
        <w:tc>
          <w:tcPr>
            <w:tcW w:type="dxa" w:w="4703"/>
          </w:tcPr>
          <w:p>
            <w:r/>
            <w:r>
              <w:rPr>
                <w:rFonts w:ascii="Calibri" w:hAnsi="Calibri"/>
                <w:color w:val="1F2937"/>
                <w:sz w:val="20"/>
              </w:rPr>
              <w:t>PSSR</w:t>
            </w:r>
          </w:p>
        </w:tc>
        <w:tc>
          <w:tcPr>
            <w:tcW w:type="dxa" w:w="4703"/>
          </w:tcPr>
          <w:p>
            <w:r/>
            <w:r>
              <w:rPr>
                <w:rFonts w:ascii="Calibri" w:hAnsi="Calibri"/>
                <w:color w:val="1F2937"/>
                <w:sz w:val="20"/>
              </w:rPr>
              <w:t>Pre-Startup Safety Review — systematische veiligheidscontrole voorafgaand aan ingebruikname van een installatie of installatieonderdeel.</w:t>
            </w:r>
          </w:p>
        </w:tc>
      </w:tr>
      <w:tr>
        <w:tc>
          <w:tcPr>
            <w:tcW w:type="dxa" w:w="4703"/>
            <w:shd w:fill="F8F9FA" w:val="clear"/>
          </w:tcPr>
          <w:p>
            <w:r/>
            <w:r>
              <w:rPr>
                <w:rFonts w:ascii="Calibri" w:hAnsi="Calibri"/>
                <w:color w:val="1F2937"/>
                <w:sz w:val="20"/>
              </w:rPr>
              <w:t>Commissioning</w:t>
            </w:r>
          </w:p>
        </w:tc>
        <w:tc>
          <w:tcPr>
            <w:tcW w:type="dxa" w:w="4703"/>
            <w:shd w:fill="F8F9FA" w:val="clear"/>
          </w:tcPr>
          <w:p>
            <w:r/>
            <w:r>
              <w:rPr>
                <w:rFonts w:ascii="Calibri" w:hAnsi="Calibri"/>
                <w:color w:val="1F2937"/>
                <w:sz w:val="20"/>
              </w:rPr>
              <w:t>Geheel van test- en inregelactiviteiten waarmee wordt aangetoond dat een installatie voldoet aan het ontwerp.</w:t>
            </w:r>
          </w:p>
        </w:tc>
      </w:tr>
      <w:tr>
        <w:tc>
          <w:tcPr>
            <w:tcW w:type="dxa" w:w="4703"/>
          </w:tcPr>
          <w:p>
            <w:r/>
            <w:r>
              <w:rPr>
                <w:rFonts w:ascii="Calibri" w:hAnsi="Calibri"/>
                <w:color w:val="1F2937"/>
                <w:sz w:val="20"/>
              </w:rPr>
              <w:t>Startup</w:t>
            </w:r>
          </w:p>
        </w:tc>
        <w:tc>
          <w:tcPr>
            <w:tcW w:type="dxa" w:w="4703"/>
          </w:tcPr>
          <w:p>
            <w:r/>
            <w:r>
              <w:rPr>
                <w:rFonts w:ascii="Calibri" w:hAnsi="Calibri"/>
                <w:color w:val="1F2937"/>
                <w:sz w:val="20"/>
              </w:rPr>
              <w:t>Het in bedrijf stellen van een installatie na_constructie, modificatie of onderhoud.</w:t>
            </w:r>
          </w:p>
        </w:tc>
      </w:tr>
      <w:tr>
        <w:tc>
          <w:tcPr>
            <w:tcW w:type="dxa" w:w="4703"/>
            <w:shd w:fill="F8F9FA" w:val="clear"/>
          </w:tcPr>
          <w:p>
            <w:r/>
            <w:r>
              <w:rPr>
                <w:rFonts w:ascii="Calibri" w:hAnsi="Calibri"/>
                <w:color w:val="1F2937"/>
                <w:sz w:val="20"/>
              </w:rPr>
              <w:t>Modification</w:t>
            </w:r>
          </w:p>
        </w:tc>
        <w:tc>
          <w:tcPr>
            <w:tcW w:type="dxa" w:w="4703"/>
            <w:shd w:fill="F8F9FA" w:val="clear"/>
          </w:tcPr>
          <w:p>
            <w:r/>
            <w:r>
              <w:rPr>
                <w:rFonts w:ascii="Calibri" w:hAnsi="Calibri"/>
                <w:color w:val="1F2937"/>
                <w:sz w:val="20"/>
              </w:rPr>
              <w:t>Wijziging aan een installatie, procesparameter of bedrijfsvoering die invloed kan hebben op de veiligheid.</w:t>
            </w:r>
          </w:p>
        </w:tc>
      </w:tr>
      <w:tr>
        <w:tc>
          <w:tcPr>
            <w:tcW w:type="dxa" w:w="4703"/>
          </w:tcPr>
          <w:p>
            <w:r/>
            <w:r>
              <w:rPr>
                <w:rFonts w:ascii="Calibri" w:hAnsi="Calibri"/>
                <w:color w:val="1F2937"/>
                <w:sz w:val="20"/>
              </w:rPr>
              <w:t>Turnover</w:t>
            </w:r>
          </w:p>
        </w:tc>
        <w:tc>
          <w:tcPr>
            <w:tcW w:type="dxa" w:w="4703"/>
          </w:tcPr>
          <w:p>
            <w:r/>
            <w:r>
              <w:rPr>
                <w:rFonts w:ascii="Calibri" w:hAnsi="Calibri"/>
                <w:color w:val="1F2937"/>
                <w:sz w:val="20"/>
              </w:rPr>
              <w:t>Formele overdracht van een installatieonderdeel van project/onderhoud naar operatie.</w:t>
            </w:r>
          </w:p>
        </w:tc>
      </w:tr>
      <w:tr>
        <w:tc>
          <w:tcPr>
            <w:tcW w:type="dxa" w:w="4703"/>
            <w:shd w:fill="F8F9FA" w:val="clear"/>
          </w:tcPr>
          <w:p>
            <w:r/>
            <w:r>
              <w:rPr>
                <w:rFonts w:ascii="Calibri" w:hAnsi="Calibri"/>
                <w:color w:val="1F2937"/>
                <w:sz w:val="20"/>
              </w:rPr>
              <w:t>Punchlist</w:t>
            </w:r>
          </w:p>
        </w:tc>
        <w:tc>
          <w:tcPr>
            <w:tcW w:type="dxa" w:w="4703"/>
            <w:shd w:fill="F8F9FA" w:val="clear"/>
          </w:tcPr>
          <w:p>
            <w:r/>
            <w:r>
              <w:rPr>
                <w:rFonts w:ascii="Calibri" w:hAnsi="Calibri"/>
                <w:color w:val="1F2937"/>
                <w:sz w:val="20"/>
              </w:rPr>
              <w:t>Lijst van openstaande punten die moeten worden afgehandeld voor of na startup.</w:t>
            </w:r>
          </w:p>
        </w:tc>
      </w:tr>
      <w:tr>
        <w:tc>
          <w:tcPr>
            <w:tcW w:type="dxa" w:w="4703"/>
          </w:tcPr>
          <w:p>
            <w:r/>
            <w:r>
              <w:rPr>
                <w:rFonts w:ascii="Calibri" w:hAnsi="Calibri"/>
                <w:color w:val="1F2937"/>
                <w:sz w:val="20"/>
              </w:rPr>
              <w:t>MoC</w:t>
            </w:r>
          </w:p>
        </w:tc>
        <w:tc>
          <w:tcPr>
            <w:tcW w:type="dxa" w:w="4703"/>
          </w:tcPr>
          <w:p>
            <w:r/>
            <w:r>
              <w:rPr>
                <w:rFonts w:ascii="Calibri" w:hAnsi="Calibri"/>
                <w:color w:val="1F2937"/>
                <w:sz w:val="20"/>
              </w:rPr>
              <w:t>Management of Change — formele goedkeuringsprocedure voor wijzigingen aan kritieke installaties.</w:t>
            </w:r>
          </w:p>
        </w:tc>
      </w:tr>
      <w:tr>
        <w:tc>
          <w:tcPr>
            <w:tcW w:type="dxa" w:w="4703"/>
            <w:shd w:fill="F8F9FA" w:val="clear"/>
          </w:tcPr>
          <w:p>
            <w:r/>
            <w:r>
              <w:rPr>
                <w:rFonts w:ascii="Calibri" w:hAnsi="Calibri"/>
                <w:color w:val="1F2937"/>
                <w:sz w:val="20"/>
              </w:rPr>
              <w:t>LOTO</w:t>
            </w:r>
          </w:p>
        </w:tc>
        <w:tc>
          <w:tcPr>
            <w:tcW w:type="dxa" w:w="4703"/>
            <w:shd w:fill="F8F9FA" w:val="clear"/>
          </w:tcPr>
          <w:p>
            <w:r/>
            <w:r>
              <w:rPr>
                <w:rFonts w:ascii="Calibri" w:hAnsi="Calibri"/>
                <w:color w:val="1F2937"/>
                <w:sz w:val="20"/>
              </w:rPr>
              <w:t>Lock-Out/Tag-Out — protocol voor het energieloos maken en vergrendelen van installatieonderdelen.</w:t>
            </w:r>
          </w:p>
        </w:tc>
      </w:tr>
      <w:tr>
        <w:tc>
          <w:tcPr>
            <w:tcW w:type="dxa" w:w="4703"/>
          </w:tcPr>
          <w:p>
            <w:r/>
            <w:r>
              <w:rPr>
                <w:rFonts w:ascii="Calibri" w:hAnsi="Calibri"/>
                <w:color w:val="1F2937"/>
                <w:sz w:val="20"/>
              </w:rPr>
              <w:t>SIS</w:t>
            </w:r>
          </w:p>
        </w:tc>
        <w:tc>
          <w:tcPr>
            <w:tcW w:type="dxa" w:w="4703"/>
          </w:tcPr>
          <w:p>
            <w:r/>
            <w:r>
              <w:rPr>
                <w:rFonts w:ascii="Calibri" w:hAnsi="Calibri"/>
                <w:color w:val="1F2937"/>
                <w:sz w:val="20"/>
              </w:rPr>
              <w:t>Safety Instrumented System — veiligheidsinstrumentatie dat automatisch ingrijpt bij procesafwijkingen.</w:t>
            </w:r>
          </w:p>
        </w:tc>
      </w:tr>
      <w:tr>
        <w:tc>
          <w:tcPr>
            <w:tcW w:type="dxa" w:w="4703"/>
            <w:shd w:fill="F8F9FA" w:val="clear"/>
          </w:tcPr>
          <w:p>
            <w:r/>
            <w:r>
              <w:rPr>
                <w:rFonts w:ascii="Calibri" w:hAnsi="Calibri"/>
                <w:color w:val="1F2937"/>
                <w:sz w:val="20"/>
              </w:rPr>
              <w:t>Go/No-Go</w:t>
            </w:r>
          </w:p>
        </w:tc>
        <w:tc>
          <w:tcPr>
            <w:tcW w:type="dxa" w:w="4703"/>
            <w:shd w:fill="F8F9FA" w:val="clear"/>
          </w:tcPr>
          <w:p>
            <w:r/>
            <w:r>
              <w:rPr>
                <w:rFonts w:ascii="Calibri" w:hAnsi="Calibri"/>
                <w:color w:val="1F2937"/>
                <w:sz w:val="20"/>
              </w:rPr>
              <w:t>Beslissingsmoment waarop het PSSR-team bepaalt of startup veilig kan plaatsvinden.</w:t>
            </w:r>
          </w:p>
        </w:tc>
      </w:tr>
    </w:tbl>
    <w:p>
      <w:r>
        <w:br w:type="page"/>
      </w:r>
    </w:p>
    <w:p>
      <w:pPr>
        <w:pStyle w:val="Heading1"/>
      </w:pPr>
      <w:r>
        <w:rPr>
          <w:color w:val="003366"/>
        </w:rPr>
        <w:t>4. Verantwoordelijkheden (RACI)</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Activiteit</w:t>
            </w:r>
          </w:p>
        </w:tc>
        <w:tc>
          <w:tcPr>
            <w:tcW w:type="dxa" w:w="1568"/>
            <w:shd w:fill="003366" w:val="clear"/>
          </w:tcPr>
          <w:p>
            <w:pPr>
              <w:jc w:val="left"/>
            </w:pPr>
            <w:r/>
            <w:r>
              <w:rPr>
                <w:rFonts w:ascii="Calibri" w:hAnsi="Calibri"/>
                <w:b/>
                <w:color w:val="FFFFFF"/>
                <w:sz w:val="20"/>
              </w:rPr>
              <w:t>Project Manager</w:t>
            </w:r>
          </w:p>
        </w:tc>
        <w:tc>
          <w:tcPr>
            <w:tcW w:type="dxa" w:w="1568"/>
            <w:shd w:fill="003366" w:val="clear"/>
          </w:tcPr>
          <w:p>
            <w:pPr>
              <w:jc w:val="left"/>
            </w:pPr>
            <w:r/>
            <w:r>
              <w:rPr>
                <w:rFonts w:ascii="Calibri" w:hAnsi="Calibri"/>
                <w:b/>
                <w:color w:val="FFFFFF"/>
                <w:sz w:val="20"/>
              </w:rPr>
              <w:t>Operations Manager</w:t>
            </w:r>
          </w:p>
        </w:tc>
        <w:tc>
          <w:tcPr>
            <w:tcW w:type="dxa" w:w="1568"/>
            <w:shd w:fill="003366" w:val="clear"/>
          </w:tcPr>
          <w:p>
            <w:pPr>
              <w:jc w:val="left"/>
            </w:pPr>
            <w:r/>
            <w:r>
              <w:rPr>
                <w:rFonts w:ascii="Calibri" w:hAnsi="Calibri"/>
                <w:b/>
                <w:color w:val="FFFFFF"/>
                <w:sz w:val="20"/>
              </w:rPr>
              <w:t>HSEQ Manager</w:t>
            </w:r>
          </w:p>
        </w:tc>
        <w:tc>
          <w:tcPr>
            <w:tcW w:type="dxa" w:w="1568"/>
            <w:shd w:fill="003366" w:val="clear"/>
          </w:tcPr>
          <w:p>
            <w:pPr>
              <w:jc w:val="left"/>
            </w:pPr>
            <w:r/>
            <w:r>
              <w:rPr>
                <w:rFonts w:ascii="Calibri" w:hAnsi="Calibri"/>
                <w:b/>
                <w:color w:val="FFFFFF"/>
                <w:sz w:val="20"/>
              </w:rPr>
              <w:t>Instrumentatie</w:t>
            </w:r>
          </w:p>
        </w:tc>
        <w:tc>
          <w:tcPr>
            <w:tcW w:type="dxa" w:w="1568"/>
            <w:shd w:fill="003366" w:val="clear"/>
          </w:tcPr>
          <w:p>
            <w:pPr>
              <w:jc w:val="left"/>
            </w:pPr>
            <w:r/>
            <w:r>
              <w:rPr>
                <w:rFonts w:ascii="Calibri" w:hAnsi="Calibri"/>
                <w:b/>
                <w:color w:val="FFFFFF"/>
                <w:sz w:val="20"/>
              </w:rPr>
              <w:t>Operator</w:t>
            </w:r>
          </w:p>
        </w:tc>
      </w:tr>
      <w:tr>
        <w:tc>
          <w:tcPr>
            <w:tcW w:type="dxa" w:w="1568"/>
          </w:tcPr>
          <w:p>
            <w:r/>
            <w:r>
              <w:rPr>
                <w:rFonts w:ascii="Calibri" w:hAnsi="Calibri"/>
                <w:color w:val="1F2937"/>
                <w:sz w:val="20"/>
              </w:rPr>
              <w:t>PSSR-trigger identificeren</w:t>
            </w:r>
          </w:p>
        </w:tc>
        <w:tc>
          <w:tcPr>
            <w:tcW w:type="dxa" w:w="1568"/>
          </w:tcPr>
          <w:p>
            <w:r/>
            <w:r>
              <w:rPr>
                <w:rFonts w:ascii="Calibri" w:hAnsi="Calibri"/>
                <w:color w:val="1F2937"/>
                <w:sz w:val="20"/>
              </w:rPr>
              <w:t>R</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PSSR-team samenstellen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Documentatie verzamelen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Veldinspectie uitvoeren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r>
      <w:tr>
        <w:tc>
          <w:tcPr>
            <w:tcW w:type="dxa" w:w="1568"/>
          </w:tcPr>
          <w:p>
            <w:r/>
            <w:r>
              <w:rPr>
                <w:rFonts w:ascii="Calibri" w:hAnsi="Calibri"/>
                <w:color w:val="1F2937"/>
                <w:sz w:val="20"/>
              </w:rPr>
              <w:t>Checklist afwerken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r>
      <w:tr>
        <w:tc>
          <w:tcPr>
            <w:tcW w:type="dxa" w:w="1568"/>
            <w:shd w:fill="F8F9FA" w:val="clear"/>
          </w:tcPr>
          <w:p>
            <w:r/>
            <w:r>
              <w:rPr>
                <w:rFonts w:ascii="Calibri" w:hAnsi="Calibri"/>
                <w:color w:val="1F2937"/>
                <w:sz w:val="20"/>
              </w:rPr>
              <w:t>Punchlist opstellen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Go/No-Go besluit</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Startup uitvoeren</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r>
      <w:tr>
        <w:tc>
          <w:tcPr>
            <w:tcW w:type="dxa" w:w="1568"/>
          </w:tcPr>
          <w:p>
            <w:r/>
            <w:r>
              <w:rPr>
                <w:rFonts w:ascii="Calibri" w:hAnsi="Calibri"/>
                <w:color w:val="1F2937"/>
                <w:sz w:val="20"/>
              </w:rPr>
              <w:t>Post-startup monitoring</w:t>
            </w:r>
          </w:p>
        </w:tc>
        <w:tc>
          <w:tcPr>
            <w:tcW w:type="dxa" w:w="1568"/>
          </w:tcPr>
          <w:p>
            <w:r/>
            <w:r>
              <w:rPr>
                <w:rFonts w:ascii="Calibri" w:hAnsi="Calibri"/>
                <w:color w:val="1F2937"/>
                <w:sz w:val="20"/>
              </w:rPr>
              <w:t>I</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R</w:t>
            </w:r>
          </w:p>
        </w:tc>
      </w:tr>
      <w:tr>
        <w:tc>
          <w:tcPr>
            <w:tcW w:type="dxa" w:w="1568"/>
            <w:shd w:fill="F8F9FA" w:val="clear"/>
          </w:tcPr>
          <w:p>
            <w:r/>
            <w:r>
              <w:rPr>
                <w:rFonts w:ascii="Calibri" w:hAnsi="Calibri"/>
                <w:color w:val="1F2937"/>
                <w:sz w:val="20"/>
              </w:rPr>
              <w:t>PSSR close-out</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bl>
    <w:p/>
    <w:p>
      <w:r>
        <w:t>R = Responsible (uitvoerend) | A = Accountable (eindverantwoordelijk) | C = Consulted (gereaadpleegd) | I = Informed (geïnformeerd)</w:t>
      </w:r>
    </w:p>
    <w:p>
      <w:r>
        <w:br w:type="page"/>
      </w:r>
    </w:p>
    <w:p>
      <w:pPr>
        <w:pStyle w:val="Heading1"/>
      </w:pPr>
      <w:r>
        <w:rPr>
          <w:color w:val="003366"/>
        </w:rPr>
        <w:t>5. Wanneer is PSSR vereist?</w:t>
      </w:r>
    </w:p>
    <w:p>
      <w:r>
        <w:t>Niet elke werkzaamheid vereist een volledige PSSR. Onderstaande tabel bepaalt wanneer een PSSR vereist is en welke diepgang van toepassing is [1][3].</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Situatie</w:t>
            </w:r>
          </w:p>
        </w:tc>
        <w:tc>
          <w:tcPr>
            <w:tcW w:type="dxa" w:w="3135"/>
            <w:shd w:fill="003366" w:val="clear"/>
          </w:tcPr>
          <w:p>
            <w:pPr>
              <w:jc w:val="left"/>
            </w:pPr>
            <w:r/>
            <w:r>
              <w:rPr>
                <w:rFonts w:ascii="Calibri" w:hAnsi="Calibri"/>
                <w:b/>
                <w:color w:val="FFFFFF"/>
                <w:sz w:val="20"/>
              </w:rPr>
              <w:t>PSSR vereist?</w:t>
            </w:r>
          </w:p>
        </w:tc>
        <w:tc>
          <w:tcPr>
            <w:tcW w:type="dxa" w:w="3135"/>
            <w:shd w:fill="003366" w:val="clear"/>
          </w:tcPr>
          <w:p>
            <w:pPr>
              <w:jc w:val="left"/>
            </w:pPr>
            <w:r/>
            <w:r>
              <w:rPr>
                <w:rFonts w:ascii="Calibri" w:hAnsi="Calibri"/>
                <w:b/>
                <w:color w:val="FFFFFF"/>
                <w:sz w:val="20"/>
              </w:rPr>
              <w:t>Diepgang</w:t>
            </w:r>
          </w:p>
        </w:tc>
      </w:tr>
      <w:tr>
        <w:tc>
          <w:tcPr>
            <w:tcW w:type="dxa" w:w="3135"/>
          </w:tcPr>
          <w:p>
            <w:r/>
            <w:r>
              <w:rPr>
                <w:rFonts w:ascii="Calibri" w:hAnsi="Calibri"/>
                <w:color w:val="1F2937"/>
                <w:sz w:val="20"/>
              </w:rPr>
              <w:t>Nieuwe installatie</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r>
        <w:tc>
          <w:tcPr>
            <w:tcW w:type="dxa" w:w="3135"/>
            <w:shd w:fill="F8F9FA" w:val="clear"/>
          </w:tcPr>
          <w:p>
            <w:r/>
            <w:r>
              <w:rPr>
                <w:rFonts w:ascii="Calibri" w:hAnsi="Calibri"/>
                <w:color w:val="1F2937"/>
                <w:sz w:val="20"/>
              </w:rPr>
              <w:t>Grote modificatie (MoC cat. A)</w:t>
            </w:r>
          </w:p>
        </w:tc>
        <w:tc>
          <w:tcPr>
            <w:tcW w:type="dxa" w:w="3135"/>
            <w:shd w:fill="F8F9FA" w:val="clear"/>
          </w:tcPr>
          <w:p>
            <w:r/>
            <w:r>
              <w:rPr>
                <w:rFonts w:ascii="Calibri" w:hAnsi="Calibri"/>
                <w:color w:val="1F2937"/>
                <w:sz w:val="20"/>
              </w:rPr>
              <w:t>Ja</w:t>
            </w:r>
          </w:p>
        </w:tc>
        <w:tc>
          <w:tcPr>
            <w:tcW w:type="dxa" w:w="3135"/>
            <w:shd w:fill="F8F9FA" w:val="clear"/>
          </w:tcPr>
          <w:p>
            <w:r/>
            <w:r>
              <w:rPr>
                <w:rFonts w:ascii="Calibri" w:hAnsi="Calibri"/>
                <w:color w:val="1F2937"/>
                <w:sz w:val="20"/>
              </w:rPr>
              <w:t>Volledig</w:t>
            </w:r>
          </w:p>
        </w:tc>
      </w:tr>
      <w:tr>
        <w:tc>
          <w:tcPr>
            <w:tcW w:type="dxa" w:w="3135"/>
          </w:tcPr>
          <w:p>
            <w:r/>
            <w:r>
              <w:rPr>
                <w:rFonts w:ascii="Calibri" w:hAnsi="Calibri"/>
                <w:color w:val="1F2937"/>
                <w:sz w:val="20"/>
              </w:rPr>
              <w:t>Correctief onderhoud kritiek onderdeel</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Preventief onderhoud (routine)</w:t>
            </w:r>
          </w:p>
        </w:tc>
        <w:tc>
          <w:tcPr>
            <w:tcW w:type="dxa" w:w="3135"/>
            <w:shd w:fill="F8F9FA" w:val="clear"/>
          </w:tcPr>
          <w:p>
            <w:r/>
            <w:r>
              <w:rPr>
                <w:rFonts w:ascii="Calibri" w:hAnsi="Calibri"/>
                <w:color w:val="1F2937"/>
                <w:sz w:val="20"/>
              </w:rPr>
              <w:t>Nee — werkvergunning volstaat</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Wijziging procesparameters</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Vervanging gelijkwaardig onderdeel</w:t>
            </w:r>
          </w:p>
        </w:tc>
        <w:tc>
          <w:tcPr>
            <w:tcW w:type="dxa" w:w="3135"/>
            <w:shd w:fill="F8F9FA" w:val="clear"/>
          </w:tcPr>
          <w:p>
            <w:r/>
            <w:r>
              <w:rPr>
                <w:rFonts w:ascii="Calibri" w:hAnsi="Calibri"/>
                <w:color w:val="1F2937"/>
                <w:sz w:val="20"/>
              </w:rPr>
              <w:t>Nee — LOTO + verificatie</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Na langere stilstand (&gt;30 dagen)</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bl>
    <w:p>
      <w:r>
        <w:br w:type="page"/>
      </w:r>
    </w:p>
    <w:p>
      <w:pPr>
        <w:pStyle w:val="Heading1"/>
      </w:pPr>
      <w:r>
        <w:rPr>
          <w:color w:val="003366"/>
        </w:rPr>
        <w:t>6. PSSR Procedure</w:t>
      </w:r>
    </w:p>
    <w:p>
      <w:pPr>
        <w:pStyle w:val="Heading2"/>
      </w:pPr>
      <w:r>
        <w:rPr>
          <w:color w:val="003366"/>
        </w:rPr>
        <w:t>Stap 1: PSSR-trigger identificeren</w:t>
      </w:r>
    </w:p>
    <w:p>
      <w:r>
        <w:t>Bepaal op basis van §5 of een PSSR vereist is. Identificeer het type werkzaamheid (nieuwe installatie, modificatie, onderhoud, stilstand) en de bijbehorende MoC-categorie. Documenteer de trigger in het PSSR-formulier (HSE-F-0000).</w:t>
      </w:r>
    </w:p>
    <w:p>
      <w:pPr>
        <w:pStyle w:val="Heading2"/>
      </w:pPr>
      <w:r>
        <w:rPr>
          <w:color w:val="003366"/>
        </w:rPr>
        <w:t>Stap 2: PSSR-team samenstellen</w:t>
      </w:r>
    </w:p>
    <w:p>
      <w:r>
        <w:t>Stel een multidisciplinair PSSR-team samen. Minimale samenstelling: Operations Manager, HSEQ Manager, en een Technisch specialist (instrumentatie/mechanisch). Voor volledige PSSR: voeg een procesingenieur en operator toe. Benoem een PSSR-teamleider (doorgaans de Project Manager).</w:t>
      </w:r>
    </w:p>
    <w:p>
      <w:pPr>
        <w:pStyle w:val="Heading2"/>
      </w:pPr>
      <w:r>
        <w:rPr>
          <w:color w:val="003366"/>
        </w:rPr>
        <w:t>Stap 3: Documentatie verzamelen</w:t>
      </w:r>
    </w:p>
    <w:p>
      <w:r>
        <w:t>Verzamel alle relevante documentatie: ontwerptekeningen (P&amp;ID's), FMECA-analyse [4], TRA, MoC-goedkeuring, werkvergunningen, LOTO-register, testrapporten en goodkeuringen. Controleer volledigheid voorafgaand aan de veldinspectie.</w:t>
      </w:r>
    </w:p>
    <w:p>
      <w:pPr>
        <w:pStyle w:val="Heading2"/>
      </w:pPr>
      <w:r>
        <w:rPr>
          <w:color w:val="003366"/>
        </w:rPr>
        <w:t>Stap 4: Veldinspectie uitvoeren</w:t>
      </w:r>
    </w:p>
    <w:p>
      <w:r>
        <w:t>Voer een fysieke inspectie uit van de betreffende installatie. Controleer of de gebouwde/gerepareerde situatie overeenkomt met de goedgekeurde tekeningen en specificaties. Documenteer afwijkingen fotografisch.</w:t>
      </w:r>
    </w:p>
    <w:p>
      <w:pPr>
        <w:pStyle w:val="Heading2"/>
      </w:pPr>
      <w:r>
        <w:rPr>
          <w:color w:val="003366"/>
        </w:rPr>
        <w:t>Stap 5: Checklist afwerken</w:t>
      </w:r>
    </w:p>
    <w:p>
      <w:r>
        <w:t>Doorloop de PSSR-checklist (§7) systematisch. Elk item wordt beoordeeld door het PSSR-team. Documenteer bevindingen, afwijkingen en aanvullende vereisten.</w:t>
      </w:r>
    </w:p>
    <w:p>
      <w:pPr>
        <w:pStyle w:val="Heading2"/>
      </w:pPr>
      <w:r>
        <w:rPr>
          <w:color w:val="003366"/>
        </w:rPr>
        <w:t>Stap 6: Punchlist opstellen</w:t>
      </w:r>
    </w:p>
    <w:p>
      <w:r>
        <w:t>Rangschik alle openstaande punten in een punchlist (§8). Classificeer elk punt als kritiek of gewenst. Kritieke punten moeten gesloten zijn vóór startup. Wijs een verantwoordelijke en deadline toe aan elk item.</w:t>
      </w:r>
    </w:p>
    <w:p>
      <w:pPr>
        <w:pStyle w:val="Heading2"/>
      </w:pPr>
      <w:r>
        <w:rPr>
          <w:color w:val="003366"/>
        </w:rPr>
        <w:t>Stap 7: Go/No-Go besluit</w:t>
      </w:r>
    </w:p>
    <w:p>
      <w:r>
        <w:t>Het PSSR-team neemt formeel het Go/No-Go besluit (§9). Startup is alleen toegestaan indien alle kritieke PSSR-items gesloten zijn en alle veiligheidssystemen functioneel getest. Documenteer het besluit met handtekeningen.</w:t>
      </w:r>
    </w:p>
    <w:p>
      <w:pPr>
        <w:pStyle w:val="Heading2"/>
      </w:pPr>
      <w:r>
        <w:rPr>
          <w:color w:val="003366"/>
        </w:rPr>
        <w:t>Stap 8: Startup uitvoeren</w:t>
      </w:r>
    </w:p>
    <w:p>
      <w:r>
        <w:t>Voer de startup uit volgens de goedgekeurde startup-procedure, onder begeleiding van het PSSR-team. Monitors alle kritieke procesparameters gedurende de eerste uren. Intervenieer direct bij afwijkingen.</w:t>
      </w:r>
    </w:p>
    <w:p>
      <w:pPr>
        <w:pStyle w:val="Heading2"/>
      </w:pPr>
      <w:r>
        <w:rPr>
          <w:color w:val="003366"/>
        </w:rPr>
        <w:t>Stap 9: Post-startup monitoring</w:t>
      </w:r>
    </w:p>
    <w:p>
      <w:r>
        <w:t>Monitors de installatie gedurende 72 uur na startup (§10). Registreer procesparameters, anomalieën en incidenten. Sluit overige (niet-kritieke) punchlist-items af binnen deze periode.</w:t>
      </w:r>
    </w:p>
    <w:p>
      <w:pPr>
        <w:pStyle w:val="Heading2"/>
      </w:pPr>
      <w:r>
        <w:rPr>
          <w:color w:val="003366"/>
        </w:rPr>
        <w:t>Stap 10: PSSR close-out</w:t>
      </w:r>
    </w:p>
    <w:p>
      <w:r>
        <w:t>Rond het PSSR-formulier af. Archiveer alle documentatie (checklist, punchlist, besluiten, testrapporten) in het documentbeheersysteem. Communiceer de close-out aan alle stakeholders. Update het FMECA-register indien nieuwe inzichten [4].</w:t>
      </w:r>
    </w:p>
    <w:p>
      <w:r>
        <w:br w:type="page"/>
      </w:r>
    </w:p>
    <w:p>
      <w:pPr>
        <w:pStyle w:val="Heading1"/>
      </w:pPr>
      <w:r>
        <w:rPr>
          <w:color w:val="003366"/>
        </w:rPr>
        <w:t>7. PSSR Checklist</w:t>
      </w:r>
    </w:p>
    <w:p>
      <w:r>
        <w:t>Onderstaande checklist wordt door het PSSR-team systematisch afgewerkt. Elk item wordt beoordeeld als OK / Niet OK / N.v.t. met ruimte voor opmerkingen.</w:t>
      </w:r>
    </w:p>
    <w:p>
      <w:pPr>
        <w:pStyle w:val="Heading2"/>
      </w:pPr>
      <w:r>
        <w:rPr>
          <w:color w:val="003366"/>
        </w:rPr>
        <w:t>A. Constructie &amp; Installatie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leidingen correct aangesloten volgens P&amp;ID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Steunen en bevestigingen conform ontwerp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Leidinglabeling en klepnummers aangebracht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Kleppen in juiste stand (open/dicht) volgens startup-procedure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Flensverbindingen gespecificeerd en correct gemonteerd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Dichtheidscontrole uitgevoerd (indien van toepassing)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Isolatie en heatmap aangebracht conform specificatie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Toegankelijkheid van kleppen en instrumenten gewaarborgd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9</w:t>
            </w:r>
          </w:p>
        </w:tc>
        <w:tc>
          <w:tcPr>
            <w:tcW w:type="dxa" w:w="2351"/>
          </w:tcPr>
          <w:p>
            <w:r>
              <w:rPr>
                <w:rFonts w:ascii="Calibri" w:hAnsi="Calibri"/>
                <w:sz w:val="18"/>
              </w:rPr>
              <w:t>Constructieve lasinspecties afgerond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10</w:t>
            </w:r>
          </w:p>
        </w:tc>
        <w:tc>
          <w:tcPr>
            <w:tcW w:type="dxa" w:w="2351"/>
            <w:shd w:fill="F8F9FA" w:val="clear"/>
          </w:tcPr>
          <w:p>
            <w:r>
              <w:rPr>
                <w:rFonts w:ascii="Calibri" w:hAnsi="Calibri"/>
                <w:sz w:val="18"/>
              </w:rPr>
              <w:t>Afvoer en drainage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B. Instrumentatie &amp; Besturing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sensoren geïnstalleerd en gekoppeld aan DCS/SCADA</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Alarmen getest en alarmgrenzen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Interlocks functioneel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SIS (Safety Instrumented System) getest en gevalideerd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Meettransmissies geijkt en geverifieerd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DCS/SCADA weergaven bijgewerkt met nieuwe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Besturingskleppen functioneel getest (open/dicht/modulerend)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Communicatie tussen veldinstrumenten en DCS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C. Veiligheidsvoorzieningen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Veiligheidskleppen (PSV) geïnstalleerd en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Overbruggingen (bypass) teruggeplaatst naar normale stand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Branddetectie en brandblusinstallatie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Gasdetectiesystemen getest en geijkt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Noodontlastingssystemen (vent, flare, blowdown)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Containment en opvangbakken (sump) aanwezig en lekvrij</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Veiligheidsschilden en afscherming geplaatst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Toegangscontrole en vergrendelingen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D. Elektrisch</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ATEX-conformiteit geverifieerd voor alle apparatuur in ATEX-zones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Aarding en potentiaalvergelijking uitgevoerd en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LOTO verwijderd (alleen na Go-besluit)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Elektrische beveiligingen (zekeringen, relais)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Verlichting en noodverlichting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Elektrische kabels en leidingen correct aangesloten en afgeschermd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E. Milieu</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Afvangsystemen voor emissies operationeel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Lozingsvoorzieningen conform vergunning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Emissiecontrole (monitors) geïnstalleerd en gekalibreerd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Afvalscheiding en -opslag conform PGS 15</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Geluidsniveaugelden geverifieerd</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rPr>
          <w:color w:val="003366"/>
        </w:rPr>
        <w:t>F. Documentatie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P&amp;ID bijgewerkt naar as-built situatie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Bedrijfsvoeringsprocedures bijgewerkt en goedgekeurd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Training operatoren voltooid en gedocumenteerd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FMECA bijgewerkt met nieuwe/gewijzigde onderdelen [4]</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MoC-dossier compleet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Keuringsrapporten en testcertificaten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G. Operationeel</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Startup-procedure beschikbaar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Operatoren getraind op gewijzigde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Bedrijfsvoeringsgrenzen gedefinieerd en gecommuniceerd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Grondstoffen en hulpstoffen beschikbaar voor startup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Kwaliteitscontrole-procedures paraat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Logboek en registratieformulieren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H. HSEQ</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Task Risk Assessment (TRA) afgerond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Alle werkvergunningen gesloten</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PBM beschikbaar en correct gespecificeerd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HSE inspectie uitgevoerd op werkplek</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Noodprocedure bijgewerkt voor gewijzigde situatie</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rPr>
          <w:color w:val="003366"/>
        </w:rPr>
        <w:t>I. Noodvoorzieningen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Noodstop (ESD) getest en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Evacuatierroutes vrij en gemarkeerd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Blusmiddelen beschikbaar en 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Eerste-hulpvoorzieningen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Noodcommunicatie getest (intercom, telefoon)</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rPr>
          <w:color w:val="003366"/>
        </w:rPr>
        <w:t>J. Communicatie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Shift geïnformeerd over startup-planning</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Aannemers geïnformeerd over gereedmelding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Management gecommuniceerd over Go/No-Go status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Buren/omgeving geïnformeerd (indien relevant)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Hand-over documentatie compleet (turnover)</w:t>
            </w:r>
          </w:p>
        </w:tc>
        <w:tc>
          <w:tcPr>
            <w:tcW w:type="dxa" w:w="2351"/>
          </w:tcPr>
          <w:p>
            <w:r>
              <w:rPr>
                <w:rFonts w:ascii="Calibri" w:hAnsi="Calibri"/>
                <w:sz w:val="18"/>
              </w:rPr>
              <w:t>☐ OK  ☐ Niet OK  ☐ N.v.t.</w:t>
            </w:r>
          </w:p>
        </w:tc>
        <w:tc>
          <w:tcPr>
            <w:tcW w:type="dxa" w:w="2351"/>
          </w:tcPr>
          <w:p>
            <w:r>
              <w:rPr>
                <w:rFonts w:ascii="Calibri" w:hAnsi="Calibri"/>
                <w:sz w:val="18"/>
              </w:rPr>
            </w:r>
          </w:p>
        </w:tc>
      </w:tr>
    </w:tbl>
    <w:p>
      <w:r>
        <w:br w:type="page"/>
      </w:r>
    </w:p>
    <w:p>
      <w:pPr>
        <w:pStyle w:val="Heading1"/>
      </w:pPr>
      <w:r>
        <w:rPr>
          <w:color w:val="003366"/>
        </w:rPr>
        <w:t>8. Punchlist Template</w:t>
      </w:r>
    </w:p>
    <w:p>
      <w:r>
        <w:t>Onderstaande punchlist wordt opgesteld na afwerking van de PSSR-checklist. Alle openstaande punten worden geclassificeerd als kritiek (moet gesloten vóór startup) of gewenst (kan na startup worden afgehandeld).</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Item #</w:t>
            </w:r>
          </w:p>
        </w:tc>
        <w:tc>
          <w:tcPr>
            <w:tcW w:type="dxa" w:w="1568"/>
            <w:shd w:fill="003366" w:val="clear"/>
          </w:tcPr>
          <w:p>
            <w:pPr>
              <w:jc w:val="left"/>
            </w:pPr>
            <w:r/>
            <w:r>
              <w:rPr>
                <w:rFonts w:ascii="Calibri" w:hAnsi="Calibri"/>
                <w:b/>
                <w:color w:val="FFFFFF"/>
                <w:sz w:val="20"/>
              </w:rPr>
              <w:t>Omschrijving</w:t>
            </w:r>
          </w:p>
        </w:tc>
        <w:tc>
          <w:tcPr>
            <w:tcW w:type="dxa" w:w="1568"/>
            <w:shd w:fill="003366" w:val="clear"/>
          </w:tcPr>
          <w:p>
            <w:pPr>
              <w:jc w:val="left"/>
            </w:pPr>
            <w:r/>
            <w:r>
              <w:rPr>
                <w:rFonts w:ascii="Calibri" w:hAnsi="Calibri"/>
                <w:b/>
                <w:color w:val="FFFFFF"/>
                <w:sz w:val="20"/>
              </w:rPr>
              <w:t>Prioriteit</w:t>
            </w:r>
          </w:p>
        </w:tc>
        <w:tc>
          <w:tcPr>
            <w:tcW w:type="dxa" w:w="1568"/>
            <w:shd w:fill="003366" w:val="clear"/>
          </w:tcPr>
          <w:p>
            <w:pPr>
              <w:jc w:val="left"/>
            </w:pPr>
            <w:r/>
            <w:r>
              <w:rPr>
                <w:rFonts w:ascii="Calibri" w:hAnsi="Calibri"/>
                <w:b/>
                <w:color w:val="FFFFFF"/>
                <w:sz w:val="20"/>
              </w:rPr>
              <w:t>Verantwoordelijke</w:t>
            </w:r>
          </w:p>
        </w:tc>
        <w:tc>
          <w:tcPr>
            <w:tcW w:type="dxa" w:w="1568"/>
            <w:shd w:fill="003366" w:val="clear"/>
          </w:tcPr>
          <w:p>
            <w:pPr>
              <w:jc w:val="left"/>
            </w:pPr>
            <w:r/>
            <w:r>
              <w:rPr>
                <w:rFonts w:ascii="Calibri" w:hAnsi="Calibri"/>
                <w:b/>
                <w:color w:val="FFFFFF"/>
                <w:sz w:val="20"/>
              </w:rPr>
              <w:t>Deadline</w:t>
            </w:r>
          </w:p>
        </w:tc>
        <w:tc>
          <w:tcPr>
            <w:tcW w:type="dxa" w:w="1568"/>
            <w:shd w:fill="003366" w:val="clear"/>
          </w:tcPr>
          <w:p>
            <w:pPr>
              <w:jc w:val="left"/>
            </w:pPr>
            <w:r/>
            <w:r>
              <w:rPr>
                <w:rFonts w:ascii="Calibri" w:hAnsi="Calibri"/>
                <w:b/>
                <w:color w:val="FFFFFF"/>
                <w:sz w:val="20"/>
              </w:rPr>
              <w:t>Status</w:t>
            </w:r>
          </w:p>
        </w:tc>
      </w:tr>
      <w:tr>
        <w:tc>
          <w:tcPr>
            <w:tcW w:type="dxa" w:w="1568"/>
          </w:tcPr>
          <w:p>
            <w:r/>
            <w:r>
              <w:rPr>
                <w:rFonts w:ascii="Calibri" w:hAnsi="Calibri"/>
                <w:color w:val="1F2937"/>
                <w:sz w:val="20"/>
              </w:rPr>
              <w:t>1</w:t>
            </w:r>
          </w:p>
        </w:tc>
        <w:tc>
          <w:tcPr>
            <w:tcW w:type="dxa" w:w="1568"/>
          </w:tcPr>
          <w:p>
            <w:r/>
            <w:r>
              <w:rPr>
                <w:rFonts w:ascii="Calibri" w:hAnsi="Calibri"/>
                <w:color w:val="1F2937"/>
                <w:sz w:val="20"/>
              </w:rPr>
              <w:t>[Voorbeeld: Leidinglabeling ontbreekt sectie B3]</w:t>
            </w:r>
          </w:p>
        </w:tc>
        <w:tc>
          <w:tcPr>
            <w:tcW w:type="dxa" w:w="1568"/>
          </w:tcPr>
          <w:p>
            <w:r/>
            <w:r>
              <w:rPr>
                <w:rFonts w:ascii="Calibri" w:hAnsi="Calibri"/>
                <w:color w:val="1F2937"/>
                <w:sz w:val="20"/>
              </w:rPr>
              <w:t>Kritiek</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2</w:t>
            </w:r>
          </w:p>
        </w:tc>
        <w:tc>
          <w:tcPr>
            <w:tcW w:type="dxa" w:w="1568"/>
            <w:shd w:fill="F8F9FA" w:val="clear"/>
          </w:tcPr>
          <w:p>
            <w:r/>
            <w:r>
              <w:rPr>
                <w:rFonts w:ascii="Calibri" w:hAnsi="Calibri"/>
                <w:color w:val="1F2937"/>
                <w:sz w:val="20"/>
              </w:rPr>
              <w:t>[Voorbeeld: Alarmgrens TIC-201 niet geverifieerd]</w:t>
            </w:r>
          </w:p>
        </w:tc>
        <w:tc>
          <w:tcPr>
            <w:tcW w:type="dxa" w:w="1568"/>
            <w:shd w:fill="F8F9FA" w:val="clear"/>
          </w:tcPr>
          <w:p>
            <w:r/>
            <w:r>
              <w:rPr>
                <w:rFonts w:ascii="Calibri" w:hAnsi="Calibri"/>
                <w:color w:val="1F2937"/>
                <w:sz w:val="20"/>
              </w:rPr>
              <w:t>Kritiek</w:t>
            </w:r>
          </w:p>
        </w:tc>
        <w:tc>
          <w:tcPr>
            <w:tcW w:type="dxa" w:w="1568"/>
            <w:shd w:fill="F8F9FA" w:val="clear"/>
          </w:tcPr>
          <w:p>
            <w:r/>
            <w:r>
              <w:rPr>
                <w:rFonts w:ascii="Calibri" w:hAnsi="Calibri"/>
                <w:color w:val="1F2937"/>
                <w:sz w:val="20"/>
              </w:rPr>
              <w:t>[Naam]</w:t>
            </w:r>
          </w:p>
        </w:tc>
        <w:tc>
          <w:tcPr>
            <w:tcW w:type="dxa" w:w="1568"/>
            <w:shd w:fill="F8F9FA" w:val="clear"/>
          </w:tcPr>
          <w:p>
            <w:r/>
            <w:r>
              <w:rPr>
                <w:rFonts w:ascii="Calibri" w:hAnsi="Calibri"/>
                <w:color w:val="1F2937"/>
                <w:sz w:val="20"/>
              </w:rPr>
              <w:t>[Datum]</w:t>
            </w:r>
          </w:p>
        </w:tc>
        <w:tc>
          <w:tcPr>
            <w:tcW w:type="dxa" w:w="1568"/>
            <w:shd w:fill="F8F9FA" w:val="clear"/>
          </w:tcPr>
          <w:p>
            <w:r/>
            <w:r>
              <w:rPr>
                <w:rFonts w:ascii="Calibri" w:hAnsi="Calibri"/>
                <w:color w:val="1F2937"/>
                <w:sz w:val="20"/>
              </w:rPr>
              <w:t>Open</w:t>
            </w:r>
          </w:p>
        </w:tc>
      </w:tr>
      <w:tr>
        <w:tc>
          <w:tcPr>
            <w:tcW w:type="dxa" w:w="1568"/>
          </w:tcPr>
          <w:p>
            <w:r/>
            <w:r>
              <w:rPr>
                <w:rFonts w:ascii="Calibri" w:hAnsi="Calibri"/>
                <w:color w:val="1F2937"/>
                <w:sz w:val="20"/>
              </w:rPr>
              <w:t>3</w:t>
            </w:r>
          </w:p>
        </w:tc>
        <w:tc>
          <w:tcPr>
            <w:tcW w:type="dxa" w:w="1568"/>
          </w:tcPr>
          <w:p>
            <w:r/>
            <w:r>
              <w:rPr>
                <w:rFonts w:ascii="Calibri" w:hAnsi="Calibri"/>
                <w:color w:val="1F2937"/>
                <w:sz w:val="20"/>
              </w:rPr>
              <w:t>[Voorbeeld: Verlichting pompkamer defect]</w:t>
            </w:r>
          </w:p>
        </w:tc>
        <w:tc>
          <w:tcPr>
            <w:tcW w:type="dxa" w:w="1568"/>
          </w:tcPr>
          <w:p>
            <w:r/>
            <w:r>
              <w:rPr>
                <w:rFonts w:ascii="Calibri" w:hAnsi="Calibri"/>
                <w:color w:val="1F2937"/>
                <w:sz w:val="20"/>
              </w:rPr>
              <w:t>Gewenst</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4</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5</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6</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7</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8</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9</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10</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bl>
    <w:p>
      <w:r>
        <w:br w:type="page"/>
      </w:r>
    </w:p>
    <w:p>
      <w:pPr>
        <w:pStyle w:val="Heading1"/>
      </w:pPr>
      <w:r>
        <w:rPr>
          <w:color w:val="003366"/>
        </w:rPr>
        <w:t>9. Go/No-Go Beslissingsmatrix</w:t>
      </w:r>
    </w:p>
    <w:p>
      <w:r>
        <w:t>Het PSSR-team gebruikt onderstaande matrix om het Go/No-Go besluit te nemen. Alle criteria moeten zijn vervuld voor een Go-besluit. Één onvoldoende criterium resulteert in een No-Go.</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t>
            </w:r>
          </w:p>
        </w:tc>
        <w:tc>
          <w:tcPr>
            <w:tcW w:type="dxa" w:w="3135"/>
            <w:shd w:fill="003366" w:val="clear"/>
          </w:tcPr>
          <w:p>
            <w:pPr>
              <w:jc w:val="left"/>
            </w:pPr>
            <w:r/>
            <w:r>
              <w:rPr>
                <w:rFonts w:ascii="Calibri" w:hAnsi="Calibri"/>
                <w:b/>
                <w:color w:val="FFFFFF"/>
                <w:sz w:val="20"/>
              </w:rPr>
              <w:t>Criterium</w:t>
            </w:r>
          </w:p>
        </w:tc>
        <w:tc>
          <w:tcPr>
            <w:tcW w:type="dxa" w:w="3135"/>
            <w:shd w:fill="003366" w:val="clear"/>
          </w:tcPr>
          <w:p>
            <w:pPr>
              <w:jc w:val="left"/>
            </w:pPr>
            <w:r/>
            <w:r>
              <w:rPr>
                <w:rFonts w:ascii="Calibri" w:hAnsi="Calibri"/>
                <w:b/>
                <w:color w:val="FFFFFF"/>
                <w:sz w:val="20"/>
              </w:rPr>
              <w:t>Status</w:t>
            </w:r>
          </w:p>
        </w:tc>
      </w:tr>
      <w:tr>
        <w:tc>
          <w:tcPr>
            <w:tcW w:type="dxa" w:w="3135"/>
          </w:tcPr>
          <w:p>
            <w:r>
              <w:rPr>
                <w:rFonts w:ascii="Calibri" w:hAnsi="Calibri"/>
                <w:sz w:val="20"/>
              </w:rPr>
              <w:t>1</w:t>
            </w:r>
          </w:p>
        </w:tc>
        <w:tc>
          <w:tcPr>
            <w:tcW w:type="dxa" w:w="3135"/>
          </w:tcPr>
          <w:p>
            <w:r>
              <w:rPr>
                <w:rFonts w:ascii="Calibri" w:hAnsi="Calibri"/>
                <w:sz w:val="20"/>
              </w:rPr>
              <w:t>Alle kritieke PSSR-items gesloten (punchlist kritiek = 0 open)</w:t>
            </w:r>
          </w:p>
        </w:tc>
        <w:tc>
          <w:tcPr>
            <w:tcW w:type="dxa" w:w="3135"/>
          </w:tcPr>
          <w:p>
            <w:r>
              <w:rPr>
                <w:rFonts w:ascii="Calibri" w:hAnsi="Calibri"/>
                <w:sz w:val="20"/>
              </w:rPr>
              <w:t>☐ Ja  ☐ Nee</w:t>
            </w:r>
          </w:p>
        </w:tc>
      </w:tr>
      <w:tr>
        <w:tc>
          <w:tcPr>
            <w:tcW w:type="dxa" w:w="3135"/>
            <w:shd w:fill="F8F9FA" w:val="clear"/>
          </w:tcPr>
          <w:p>
            <w:r>
              <w:rPr>
                <w:rFonts w:ascii="Calibri" w:hAnsi="Calibri"/>
                <w:sz w:val="20"/>
              </w:rPr>
              <w:t>2</w:t>
            </w:r>
          </w:p>
        </w:tc>
        <w:tc>
          <w:tcPr>
            <w:tcW w:type="dxa" w:w="3135"/>
            <w:shd w:fill="F8F9FA" w:val="clear"/>
          </w:tcPr>
          <w:p>
            <w:r>
              <w:rPr>
                <w:rFonts w:ascii="Calibri" w:hAnsi="Calibri"/>
                <w:sz w:val="20"/>
              </w:rPr>
              <w:t>Alle veiligheidssystemen functioneel getest (SIS, interlocks, PSV, ESD)</w:t>
            </w:r>
          </w:p>
        </w:tc>
        <w:tc>
          <w:tcPr>
            <w:tcW w:type="dxa" w:w="3135"/>
            <w:shd w:fill="F8F9FA" w:val="clear"/>
          </w:tcPr>
          <w:p>
            <w:r>
              <w:rPr>
                <w:rFonts w:ascii="Calibri" w:hAnsi="Calibri"/>
                <w:sz w:val="20"/>
              </w:rPr>
              <w:t>☐ Ja  ☐ Nee</w:t>
            </w:r>
          </w:p>
        </w:tc>
      </w:tr>
      <w:tr>
        <w:tc>
          <w:tcPr>
            <w:tcW w:type="dxa" w:w="3135"/>
          </w:tcPr>
          <w:p>
            <w:r>
              <w:rPr>
                <w:rFonts w:ascii="Calibri" w:hAnsi="Calibri"/>
                <w:sz w:val="20"/>
              </w:rPr>
              <w:t>3</w:t>
            </w:r>
          </w:p>
        </w:tc>
        <w:tc>
          <w:tcPr>
            <w:tcW w:type="dxa" w:w="3135"/>
          </w:tcPr>
          <w:p>
            <w:r>
              <w:rPr>
                <w:rFonts w:ascii="Calibri" w:hAnsi="Calibri"/>
                <w:sz w:val="20"/>
              </w:rPr>
              <w:t>Alle LOTO verwijderd en overbruggingen teruggeplaatst naar normale stand</w:t>
            </w:r>
          </w:p>
        </w:tc>
        <w:tc>
          <w:tcPr>
            <w:tcW w:type="dxa" w:w="3135"/>
          </w:tcPr>
          <w:p>
            <w:r>
              <w:rPr>
                <w:rFonts w:ascii="Calibri" w:hAnsi="Calibri"/>
                <w:sz w:val="20"/>
              </w:rPr>
              <w:t>☐ Ja  ☐ Nee</w:t>
            </w:r>
          </w:p>
        </w:tc>
      </w:tr>
      <w:tr>
        <w:tc>
          <w:tcPr>
            <w:tcW w:type="dxa" w:w="3135"/>
            <w:shd w:fill="F8F9FA" w:val="clear"/>
          </w:tcPr>
          <w:p>
            <w:r>
              <w:rPr>
                <w:rFonts w:ascii="Calibri" w:hAnsi="Calibri"/>
                <w:sz w:val="20"/>
              </w:rPr>
              <w:t>4</w:t>
            </w:r>
          </w:p>
        </w:tc>
        <w:tc>
          <w:tcPr>
            <w:tcW w:type="dxa" w:w="3135"/>
            <w:shd w:fill="F8F9FA" w:val="clear"/>
          </w:tcPr>
          <w:p>
            <w:r>
              <w:rPr>
                <w:rFonts w:ascii="Calibri" w:hAnsi="Calibri"/>
                <w:sz w:val="20"/>
              </w:rPr>
              <w:t>Operatoren getraind en startup-procedure beschikbaar en goedgekeurd</w:t>
            </w:r>
          </w:p>
        </w:tc>
        <w:tc>
          <w:tcPr>
            <w:tcW w:type="dxa" w:w="3135"/>
            <w:shd w:fill="F8F9FA" w:val="clear"/>
          </w:tcPr>
          <w:p>
            <w:r>
              <w:rPr>
                <w:rFonts w:ascii="Calibri" w:hAnsi="Calibri"/>
                <w:sz w:val="20"/>
              </w:rPr>
              <w:t>☐ Ja  ☐ Nee</w:t>
            </w:r>
          </w:p>
        </w:tc>
      </w:tr>
      <w:tr>
        <w:tc>
          <w:tcPr>
            <w:tcW w:type="dxa" w:w="3135"/>
          </w:tcPr>
          <w:p>
            <w:r>
              <w:rPr>
                <w:rFonts w:ascii="Calibri" w:hAnsi="Calibri"/>
                <w:sz w:val="20"/>
              </w:rPr>
              <w:t>5</w:t>
            </w:r>
          </w:p>
        </w:tc>
        <w:tc>
          <w:tcPr>
            <w:tcW w:type="dxa" w:w="3135"/>
          </w:tcPr>
          <w:p>
            <w:r>
              <w:rPr>
                <w:rFonts w:ascii="Calibri" w:hAnsi="Calibri"/>
                <w:sz w:val="20"/>
              </w:rPr>
              <w:t>Emergency response paraat (noodstop getest, evacuatieroutes vrij, blusmiddelen beschikbaar)</w:t>
            </w:r>
          </w:p>
        </w:tc>
        <w:tc>
          <w:tcPr>
            <w:tcW w:type="dxa" w:w="3135"/>
          </w:tcPr>
          <w:p>
            <w:r>
              <w:rPr>
                <w:rFonts w:ascii="Calibri" w:hAnsi="Calibri"/>
                <w:sz w:val="20"/>
              </w:rPr>
              <w:t>☐ Ja  ☐ Nee</w:t>
            </w:r>
          </w:p>
        </w:tc>
      </w:tr>
      <w:tr>
        <w:tc>
          <w:tcPr>
            <w:tcW w:type="dxa" w:w="3135"/>
            <w:shd w:fill="F8F9FA" w:val="clear"/>
          </w:tcPr>
          <w:p>
            <w:r>
              <w:rPr>
                <w:rFonts w:ascii="Calibri" w:hAnsi="Calibri"/>
                <w:sz w:val="20"/>
              </w:rPr>
              <w:t>6</w:t>
            </w:r>
          </w:p>
        </w:tc>
        <w:tc>
          <w:tcPr>
            <w:tcW w:type="dxa" w:w="3135"/>
            <w:shd w:fill="F8F9FA" w:val="clear"/>
          </w:tcPr>
          <w:p>
            <w:r>
              <w:rPr>
                <w:rFonts w:ascii="Calibri" w:hAnsi="Calibri"/>
                <w:sz w:val="20"/>
              </w:rPr>
              <w:t>Alle werkvergunningen gesloten en TRA afgerond</w:t>
            </w:r>
          </w:p>
        </w:tc>
        <w:tc>
          <w:tcPr>
            <w:tcW w:type="dxa" w:w="3135"/>
            <w:shd w:fill="F8F9FA" w:val="clear"/>
          </w:tcPr>
          <w:p>
            <w:r>
              <w:rPr>
                <w:rFonts w:ascii="Calibri" w:hAnsi="Calibri"/>
                <w:sz w:val="20"/>
              </w:rPr>
              <w:t>☐ Ja  ☐ Nee</w:t>
            </w:r>
          </w:p>
        </w:tc>
      </w:tr>
      <w:tr>
        <w:tc>
          <w:tcPr>
            <w:tcW w:type="dxa" w:w="3135"/>
          </w:tcPr>
          <w:p>
            <w:r>
              <w:rPr>
                <w:rFonts w:ascii="Calibri" w:hAnsi="Calibri"/>
                <w:sz w:val="20"/>
              </w:rPr>
              <w:t>7</w:t>
            </w:r>
          </w:p>
        </w:tc>
        <w:tc>
          <w:tcPr>
            <w:tcW w:type="dxa" w:w="3135"/>
          </w:tcPr>
          <w:p>
            <w:r>
              <w:rPr>
                <w:rFonts w:ascii="Calibri" w:hAnsi="Calibri"/>
                <w:sz w:val="20"/>
              </w:rPr>
              <w:t>Documentatie compleet (P&amp;ID as-built, procedures bijgewerkt, training gedocumenteerd)</w:t>
            </w:r>
          </w:p>
        </w:tc>
        <w:tc>
          <w:tcPr>
            <w:tcW w:type="dxa" w:w="3135"/>
          </w:tcPr>
          <w:p>
            <w:r>
              <w:rPr>
                <w:rFonts w:ascii="Calibri" w:hAnsi="Calibri"/>
                <w:sz w:val="20"/>
              </w:rPr>
              <w:t>☐ Ja  ☐ Nee</w:t>
            </w:r>
          </w:p>
        </w:tc>
      </w:tr>
      <w:tr>
        <w:tc>
          <w:tcPr>
            <w:tcW w:type="dxa" w:w="3135"/>
            <w:shd w:fill="F8F9FA" w:val="clear"/>
          </w:tcPr>
          <w:p>
            <w:r>
              <w:rPr>
                <w:rFonts w:ascii="Calibri" w:hAnsi="Calibri"/>
                <w:sz w:val="20"/>
              </w:rPr>
              <w:t>8</w:t>
            </w:r>
          </w:p>
        </w:tc>
        <w:tc>
          <w:tcPr>
            <w:tcW w:type="dxa" w:w="3135"/>
            <w:shd w:fill="F8F9FA" w:val="clear"/>
          </w:tcPr>
          <w:p>
            <w:r>
              <w:rPr>
                <w:rFonts w:ascii="Calibri" w:hAnsi="Calibri"/>
                <w:sz w:val="20"/>
              </w:rPr>
              <w:t>Milieuvoorzieningen operationeel (afvangsystemen, lozingscontrole)</w:t>
            </w:r>
          </w:p>
        </w:tc>
        <w:tc>
          <w:tcPr>
            <w:tcW w:type="dxa" w:w="3135"/>
            <w:shd w:fill="F8F9FA" w:val="clear"/>
          </w:tcPr>
          <w:p>
            <w:r>
              <w:rPr>
                <w:rFonts w:ascii="Calibri" w:hAnsi="Calibri"/>
                <w:sz w:val="20"/>
              </w:rPr>
              <w:t>☐ Ja  ☐ Nee</w:t>
            </w:r>
          </w:p>
        </w:tc>
      </w:tr>
    </w:tbl>
    <w:p/>
    <w:p>
      <w:r>
        <w:rPr>
          <w:b/>
        </w:rPr>
        <w:t xml:space="preserve">Beslissing: </w:t>
      </w:r>
      <w:r>
        <w:t xml:space="preserve">  ☐ GO — Startup toegestaan     ☐ NO-GO — Startup niet toegestaan</w:t>
      </w:r>
    </w:p>
    <w:p/>
    <w:p>
      <w:r>
        <w:t>Handtekeningen PSSR-team:</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Functie</w:t>
            </w:r>
          </w:p>
        </w:tc>
        <w:tc>
          <w:tcPr>
            <w:tcW w:type="dxa" w:w="3135"/>
            <w:shd w:fill="003366" w:val="clear"/>
          </w:tcPr>
          <w:p>
            <w:pPr>
              <w:jc w:val="left"/>
            </w:pPr>
            <w:r/>
            <w:r>
              <w:rPr>
                <w:rFonts w:ascii="Calibri" w:hAnsi="Calibri"/>
                <w:b/>
                <w:color w:val="FFFFFF"/>
                <w:sz w:val="20"/>
              </w:rPr>
              <w:t>Naam + Handtekening</w:t>
            </w:r>
          </w:p>
        </w:tc>
        <w:tc>
          <w:tcPr>
            <w:tcW w:type="dxa" w:w="3135"/>
            <w:shd w:fill="003366" w:val="clear"/>
          </w:tcPr>
          <w:p>
            <w:pPr>
              <w:jc w:val="left"/>
            </w:pPr>
            <w:r/>
            <w:r>
              <w:rPr>
                <w:rFonts w:ascii="Calibri" w:hAnsi="Calibri"/>
                <w:b/>
                <w:color w:val="FFFFFF"/>
                <w:sz w:val="20"/>
              </w:rPr>
              <w:t>Datum</w:t>
            </w:r>
          </w:p>
        </w:tc>
      </w:tr>
      <w:tr>
        <w:tc>
          <w:tcPr>
            <w:tcW w:type="dxa" w:w="3135"/>
          </w:tcPr>
          <w:p>
            <w:r/>
            <w:r>
              <w:rPr>
                <w:rFonts w:ascii="Calibri" w:hAnsi="Calibri"/>
                <w:color w:val="1F2937"/>
                <w:sz w:val="20"/>
              </w:rPr>
              <w:t>Project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HSEQ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Instrumentatie</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Operator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bl>
    <w:p>
      <w:r>
        <w:br w:type="page"/>
      </w:r>
    </w:p>
    <w:p>
      <w:pPr>
        <w:pStyle w:val="Heading1"/>
      </w:pPr>
      <w:r>
        <w:rPr>
          <w:color w:val="003366"/>
        </w:rPr>
        <w:t>10. Post-Startup Monitoring (72-uur Protocol)</w:t>
      </w:r>
    </w:p>
    <w:p>
      <w:r>
        <w:t>Na het Go-besluit en de startup voert het PSSR-team een 72-uur monitoring uit om de stabiliteit en veiligheid van de installatie te verifiëren [1][3].</w:t>
      </w:r>
    </w:p>
    <w:p>
      <w:pPr>
        <w:pStyle w:val="Heading2"/>
      </w:pPr>
      <w:r>
        <w:rPr>
          <w:color w:val="003366"/>
        </w:rPr>
        <w:t>10.1 Monitoringparameters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Parameter</w:t>
            </w:r>
          </w:p>
        </w:tc>
        <w:tc>
          <w:tcPr>
            <w:tcW w:type="dxa" w:w="3135"/>
            <w:shd w:fill="003366" w:val="clear"/>
          </w:tcPr>
          <w:p>
            <w:pPr>
              <w:jc w:val="left"/>
            </w:pPr>
            <w:r/>
            <w:r>
              <w:rPr>
                <w:rFonts w:ascii="Calibri" w:hAnsi="Calibri"/>
                <w:b/>
                <w:color w:val="FFFFFF"/>
                <w:sz w:val="20"/>
              </w:rPr>
              <w:t>Frequentie</w:t>
            </w:r>
          </w:p>
        </w:tc>
        <w:tc>
          <w:tcPr>
            <w:tcW w:type="dxa" w:w="3135"/>
            <w:shd w:fill="003366" w:val="clear"/>
          </w:tcPr>
          <w:p>
            <w:pPr>
              <w:jc w:val="left"/>
            </w:pPr>
            <w:r/>
            <w:r>
              <w:rPr>
                <w:rFonts w:ascii="Calibri" w:hAnsi="Calibri"/>
                <w:b/>
                <w:color w:val="FFFFFF"/>
                <w:sz w:val="20"/>
              </w:rPr>
              <w:t>Verantwoordelijke</w:t>
            </w:r>
          </w:p>
        </w:tc>
      </w:tr>
      <w:tr>
        <w:tc>
          <w:tcPr>
            <w:tcW w:type="dxa" w:w="3135"/>
          </w:tcPr>
          <w:p>
            <w:r/>
            <w:r>
              <w:rPr>
                <w:rFonts w:ascii="Calibri" w:hAnsi="Calibri"/>
                <w:color w:val="1F2937"/>
                <w:sz w:val="20"/>
              </w:rPr>
              <w:t>Procestemperaturen</w:t>
            </w:r>
          </w:p>
        </w:tc>
        <w:tc>
          <w:tcPr>
            <w:tcW w:type="dxa" w:w="3135"/>
          </w:tcPr>
          <w:p>
            <w:r/>
            <w:r>
              <w:rPr>
                <w:rFonts w:ascii="Calibri" w:hAnsi="Calibri"/>
                <w:color w:val="1F2937"/>
                <w:sz w:val="20"/>
              </w:rPr>
              <w:t>Continue monitor + handmatige verificatie elke 4 uur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Procesdrukken</w:t>
            </w:r>
          </w:p>
        </w:tc>
        <w:tc>
          <w:tcPr>
            <w:tcW w:type="dxa" w:w="3135"/>
            <w:shd w:fill="F8F9FA" w:val="clear"/>
          </w:tcPr>
          <w:p>
            <w:r/>
            <w:r>
              <w:rPr>
                <w:rFonts w:ascii="Calibri" w:hAnsi="Calibri"/>
                <w:color w:val="1F2937"/>
                <w:sz w:val="20"/>
              </w:rPr>
              <w:t>Continue monitor + handmatige verificatie elke 4 uur</w:t>
            </w:r>
          </w:p>
        </w:tc>
        <w:tc>
          <w:tcPr>
            <w:tcW w:type="dxa" w:w="3135"/>
            <w:shd w:fill="F8F9FA" w:val="clear"/>
          </w:tcPr>
          <w:p>
            <w:r/>
            <w:r>
              <w:rPr>
                <w:rFonts w:ascii="Calibri" w:hAnsi="Calibri"/>
                <w:color w:val="1F2937"/>
                <w:sz w:val="20"/>
              </w:rPr>
              <w:t>Operator</w:t>
            </w:r>
          </w:p>
        </w:tc>
      </w:tr>
      <w:tr>
        <w:tc>
          <w:tcPr>
            <w:tcW w:type="dxa" w:w="3135"/>
          </w:tcPr>
          <w:p>
            <w:r/>
            <w:r>
              <w:rPr>
                <w:rFonts w:ascii="Calibri" w:hAnsi="Calibri"/>
                <w:color w:val="1F2937"/>
                <w:sz w:val="20"/>
              </w:rPr>
              <w:t>Debieten (flow)</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Vibratie (pompen, compressoren)</w:t>
            </w:r>
          </w:p>
        </w:tc>
        <w:tc>
          <w:tcPr>
            <w:tcW w:type="dxa" w:w="3135"/>
            <w:shd w:fill="F8F9FA" w:val="clear"/>
          </w:tcPr>
          <w:p>
            <w:r/>
            <w:r>
              <w:rPr>
                <w:rFonts w:ascii="Calibri" w:hAnsi="Calibri"/>
                <w:color w:val="1F2937"/>
                <w:sz w:val="20"/>
              </w:rPr>
              <w:t>Elke 8 uur</w:t>
            </w:r>
          </w:p>
        </w:tc>
        <w:tc>
          <w:tcPr>
            <w:tcW w:type="dxa" w:w="3135"/>
            <w:shd w:fill="F8F9FA" w:val="clear"/>
          </w:tcPr>
          <w:p>
            <w:r/>
            <w:r>
              <w:rPr>
                <w:rFonts w:ascii="Calibri" w:hAnsi="Calibri"/>
                <w:color w:val="1F2937"/>
                <w:sz w:val="20"/>
              </w:rPr>
              <w:t>Techniek</w:t>
            </w:r>
          </w:p>
        </w:tc>
      </w:tr>
      <w:tr>
        <w:tc>
          <w:tcPr>
            <w:tcW w:type="dxa" w:w="3135"/>
          </w:tcPr>
          <w:p>
            <w:r/>
            <w:r>
              <w:rPr>
                <w:rFonts w:ascii="Calibri" w:hAnsi="Calibri"/>
                <w:color w:val="1F2937"/>
                <w:sz w:val="20"/>
              </w:rPr>
              <w:t>Gasdetectie</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HSEQ</w:t>
            </w:r>
          </w:p>
        </w:tc>
      </w:tr>
      <w:tr>
        <w:tc>
          <w:tcPr>
            <w:tcW w:type="dxa" w:w="3135"/>
            <w:shd w:fill="F8F9FA" w:val="clear"/>
          </w:tcPr>
          <w:p>
            <w:r/>
            <w:r>
              <w:rPr>
                <w:rFonts w:ascii="Calibri" w:hAnsi="Calibri"/>
                <w:color w:val="1F2937"/>
                <w:sz w:val="20"/>
              </w:rPr>
              <w:t>Emissies (indien van toepassing)</w:t>
            </w:r>
          </w:p>
        </w:tc>
        <w:tc>
          <w:tcPr>
            <w:tcW w:type="dxa" w:w="3135"/>
            <w:shd w:fill="F8F9FA" w:val="clear"/>
          </w:tcPr>
          <w:p>
            <w:r/>
            <w:r>
              <w:rPr>
                <w:rFonts w:ascii="Calibri" w:hAnsi="Calibri"/>
                <w:color w:val="1F2937"/>
                <w:sz w:val="20"/>
              </w:rPr>
              <w:t>Elke 24 uur</w:t>
            </w:r>
          </w:p>
        </w:tc>
        <w:tc>
          <w:tcPr>
            <w:tcW w:type="dxa" w:w="3135"/>
            <w:shd w:fill="F8F9FA" w:val="clear"/>
          </w:tcPr>
          <w:p>
            <w:r/>
            <w:r>
              <w:rPr>
                <w:rFonts w:ascii="Calibri" w:hAnsi="Calibri"/>
                <w:color w:val="1F2937"/>
                <w:sz w:val="20"/>
              </w:rPr>
              <w:t>HSEQ/Milieu</w:t>
            </w:r>
          </w:p>
        </w:tc>
      </w:tr>
      <w:tr>
        <w:tc>
          <w:tcPr>
            <w:tcW w:type="dxa" w:w="3135"/>
          </w:tcPr>
          <w:p>
            <w:r/>
            <w:r>
              <w:rPr>
                <w:rFonts w:ascii="Calibri" w:hAnsi="Calibri"/>
                <w:color w:val="1F2937"/>
                <w:sz w:val="20"/>
              </w:rPr>
              <w:t>Lekkagecontrole (visueel)</w:t>
            </w:r>
          </w:p>
        </w:tc>
        <w:tc>
          <w:tcPr>
            <w:tcW w:type="dxa" w:w="3135"/>
          </w:tcPr>
          <w:p>
            <w:r/>
            <w:r>
              <w:rPr>
                <w:rFonts w:ascii="Calibri" w:hAnsi="Calibri"/>
                <w:color w:val="1F2937"/>
                <w:sz w:val="20"/>
              </w:rPr>
              <w:t>Elke 8 uur</w:t>
            </w:r>
          </w:p>
        </w:tc>
        <w:tc>
          <w:tcPr>
            <w:tcW w:type="dxa" w:w="3135"/>
          </w:tcPr>
          <w:p>
            <w:r/>
            <w:r>
              <w:rPr>
                <w:rFonts w:ascii="Calibri" w:hAnsi="Calibri"/>
                <w:color w:val="1F2937"/>
                <w:sz w:val="20"/>
              </w:rPr>
              <w:t>Operator</w:t>
            </w:r>
          </w:p>
        </w:tc>
      </w:tr>
    </w:tbl>
    <w:p>
      <w:pPr>
        <w:pStyle w:val="Heading2"/>
      </w:pPr>
      <w:r>
        <w:rPr>
          <w:color w:val="003366"/>
        </w:rPr>
        <w:t>10.2 Escalatiecriteria</w:t>
      </w:r>
    </w:p>
    <w:p>
      <w:pPr>
        <w:pStyle w:val="ListBullet"/>
      </w:pPr>
      <w:r>
        <w:t>Procesparameter overschrijdt ontwerpgrens → directe shutdown en incidentmelding</w:t>
      </w:r>
    </w:p>
    <w:p>
      <w:pPr>
        <w:pStyle w:val="ListBullet"/>
      </w:pPr>
      <w:r>
        <w:t>Gasdetectie-alarm → volgen noodprocedure en incidentmelding</w:t>
      </w:r>
    </w:p>
    <w:p>
      <w:pPr>
        <w:pStyle w:val="ListBullet"/>
      </w:pPr>
      <w:r>
        <w:t>Onverwachte lekkage → directe isolatie en incidentmelding</w:t>
      </w:r>
    </w:p>
    <w:p>
      <w:pPr>
        <w:pStyle w:val="ListBullet"/>
      </w:pPr>
      <w:r>
        <w:t>Vibratie boven grenswaarde → installatie stilzetten en onderzoek</w:t>
      </w:r>
    </w:p>
    <w:p>
      <w:pPr>
        <w:pStyle w:val="ListBullet"/>
      </w:pPr>
      <w:r>
        <w:t>Overig punchlist-item niet gesloten binnen 72 uur → escalatie naar Operations Manager</w:t>
      </w:r>
    </w:p>
    <w:p>
      <w:pPr>
        <w:pStyle w:val="Heading2"/>
      </w:pPr>
      <w:r>
        <w:rPr>
          <w:color w:val="003366"/>
        </w:rPr>
        <w:t>10.3 Close-out</w:t>
      </w:r>
    </w:p>
    <w:p>
      <w:r>
        <w:t>Na 72 uur zonder incidenten: sluit het PSSR formeel af. Archiveer het volledige dossier (checklist, punchlist, monitoring-log, Go/No-Go formulier) in het documentbeheersysteem. Rapporteer de close-out aan de Plant Manager.</w:t>
      </w:r>
    </w:p>
    <w:p>
      <w:r>
        <w:br w:type="page"/>
      </w:r>
    </w:p>
    <w:p>
      <w:pPr>
        <w:pStyle w:val="Heading1"/>
      </w:pPr>
      <w:r>
        <w:rPr>
          <w:color w:val="003366"/>
        </w:rPr>
        <w:t>11. Bronnenlijst</w:t>
      </w:r>
    </w:p>
    <w:p>
      <w:pPr>
        <w:pStyle w:val="ListBullet"/>
      </w:pPr>
      <w:r>
        <w:t>[1] Phoenix Metals — PSSR Procedure HS-P-0018</w:t>
      </w:r>
    </w:p>
    <w:p>
      <w:pPr>
        <w:pStyle w:val="ListBullet"/>
      </w:pPr>
      <w:r>
        <w:t>[2] BRZO 2015 (Besluit risico's zware ongevallen 2015), Art. 7 en Art. 10</w:t>
      </w:r>
    </w:p>
    <w:p>
      <w:pPr>
        <w:pStyle w:val="ListBullet"/>
      </w:pPr>
      <w:r>
        <w:t>[3] NTA 8620 — Veiligheidsmanagementsysteem voor Seveso-inrichtingen, Hoofdstuk 10</w:t>
      </w:r>
    </w:p>
    <w:p>
      <w:pPr>
        <w:pStyle w:val="ListBullet"/>
      </w:pPr>
      <w:r>
        <w:t>[4] Phoenix Metals — FMECA Analyse (VBS Element 2, Document #04)</w:t>
      </w:r>
    </w:p>
    <w:p>
      <w:pPr>
        <w:pStyle w:val="ListBullet"/>
      </w:pPr>
      <w:r>
        <w:t>[5] Phoenix Metals — Meta-Dossier VBS Element 3, Versie 1.0 (2026-04-29)</w:t>
      </w:r>
    </w:p>
    <w:p>
      <w:r>
        <w:br w:type="page"/>
      </w:r>
    </w:p>
    <w:p>
      <w:pPr>
        <w:pStyle w:val="Heading1"/>
      </w:pPr>
      <w:r>
        <w:rPr>
          <w:color w:val="003366"/>
        </w:rPr>
        <w:t>12. TierVerify Log</w:t>
      </w:r>
    </w:p>
    <w:p>
      <w:r>
        <w:t>Onderstaande log documenteert de verificatiestappen die zijn uitgevoerd bij het opstellen van dit document.</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Check</w:t>
            </w:r>
          </w:p>
        </w:tc>
        <w:tc>
          <w:tcPr>
            <w:tcW w:type="dxa" w:w="2351"/>
            <w:shd w:fill="003366" w:val="clear"/>
          </w:tcPr>
          <w:p>
            <w:pPr>
              <w:jc w:val="left"/>
            </w:pPr>
            <w:r/>
            <w:r>
              <w:rPr>
                <w:rFonts w:ascii="Calibri" w:hAnsi="Calibri"/>
                <w:b/>
                <w:color w:val="FFFFFF"/>
                <w:sz w:val="20"/>
              </w:rPr>
              <w:t>Bron</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w:t>
            </w:r>
          </w:p>
        </w:tc>
      </w:tr>
      <w:tr>
        <w:tc>
          <w:tcPr>
            <w:tcW w:type="dxa" w:w="2351"/>
          </w:tcPr>
          <w:p>
            <w:r/>
            <w:r>
              <w:rPr>
                <w:rFonts w:ascii="Calibri" w:hAnsi="Calibri"/>
                <w:color w:val="1F2937"/>
                <w:sz w:val="20"/>
              </w:rPr>
              <w:t>Documentstructuur conform §2.2 MASTER_STYLEGUIDE</w:t>
            </w:r>
          </w:p>
        </w:tc>
        <w:tc>
          <w:tcPr>
            <w:tcW w:type="dxa" w:w="2351"/>
          </w:tcPr>
          <w:p>
            <w:r/>
            <w:r>
              <w:rPr>
                <w:rFonts w:ascii="Calibri" w:hAnsi="Calibri"/>
                <w:color w:val="1F2937"/>
                <w:sz w:val="20"/>
              </w:rPr>
              <w:t>MASTER_STYLEGUIDE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Alle secties aanwezig</w:t>
            </w:r>
          </w:p>
        </w:tc>
      </w:tr>
      <w:tr>
        <w:tc>
          <w:tcPr>
            <w:tcW w:type="dxa" w:w="2351"/>
            <w:shd w:fill="F8F9FA" w:val="clear"/>
          </w:tcPr>
          <w:p>
            <w:r/>
            <w:r>
              <w:rPr>
                <w:rFonts w:ascii="Calibri" w:hAnsi="Calibri"/>
                <w:color w:val="1F2937"/>
                <w:sz w:val="20"/>
              </w:rPr>
              <w:t>Bronverwijzingen conform §1.8</w:t>
            </w:r>
          </w:p>
        </w:tc>
        <w:tc>
          <w:tcPr>
            <w:tcW w:type="dxa" w:w="2351"/>
            <w:shd w:fill="F8F9FA" w:val="clear"/>
          </w:tcPr>
          <w:p>
            <w:r/>
            <w:r>
              <w:rPr>
                <w:rFonts w:ascii="Calibri" w:hAnsi="Calibri"/>
                <w:color w:val="1F2937"/>
                <w:sz w:val="20"/>
              </w:rPr>
              <w:t>MASTER_STYLEGUIDE §1.8</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[1] t/m [5] verwerkt</w:t>
            </w:r>
          </w:p>
        </w:tc>
      </w:tr>
      <w:tr>
        <w:tc>
          <w:tcPr>
            <w:tcW w:type="dxa" w:w="2351"/>
          </w:tcPr>
          <w:p>
            <w:r/>
            <w:r>
              <w:rPr>
                <w:rFonts w:ascii="Calibri" w:hAnsi="Calibri"/>
                <w:color w:val="1F2937"/>
                <w:sz w:val="20"/>
              </w:rPr>
              <w:t>RACI-matrix compleet</w:t>
            </w:r>
          </w:p>
        </w:tc>
        <w:tc>
          <w:tcPr>
            <w:tcW w:type="dxa" w:w="2351"/>
          </w:tcPr>
          <w:p>
            <w:r/>
            <w:r>
              <w:rPr>
                <w:rFonts w:ascii="Calibri" w:hAnsi="Calibri"/>
                <w:color w:val="1F2937"/>
                <w:sz w:val="20"/>
              </w:rPr>
              <w:t>Meta-Dossier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5 rollen × 10 activiteiten</w:t>
            </w:r>
          </w:p>
        </w:tc>
      </w:tr>
      <w:tr>
        <w:tc>
          <w:tcPr>
            <w:tcW w:type="dxa" w:w="2351"/>
            <w:shd w:fill="F8F9FA" w:val="clear"/>
          </w:tcPr>
          <w:p>
            <w:r/>
            <w:r>
              <w:rPr>
                <w:rFonts w:ascii="Calibri" w:hAnsi="Calibri"/>
                <w:color w:val="1F2937"/>
                <w:sz w:val="20"/>
              </w:rPr>
              <w:t>PSSR-trigger tabel conform opdracht</w:t>
            </w:r>
          </w:p>
        </w:tc>
        <w:tc>
          <w:tcPr>
            <w:tcW w:type="dxa" w:w="2351"/>
            <w:shd w:fill="F8F9FA" w:val="clear"/>
          </w:tcPr>
          <w:p>
            <w:r/>
            <w:r>
              <w:rPr>
                <w:rFonts w:ascii="Calibri" w:hAnsi="Calibri"/>
                <w:color w:val="1F2937"/>
                <w:sz w:val="20"/>
              </w:rPr>
              <w:t>Opdracht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7 situaties verwerkt</w:t>
            </w:r>
          </w:p>
        </w:tc>
      </w:tr>
      <w:tr>
        <w:tc>
          <w:tcPr>
            <w:tcW w:type="dxa" w:w="2351"/>
          </w:tcPr>
          <w:p>
            <w:r/>
            <w:r>
              <w:rPr>
                <w:rFonts w:ascii="Calibri" w:hAnsi="Calibri"/>
                <w:color w:val="1F2937"/>
                <w:sz w:val="20"/>
              </w:rPr>
              <w:t>Checklist 10 categorieën</w:t>
            </w:r>
          </w:p>
        </w:tc>
        <w:tc>
          <w:tcPr>
            <w:tcW w:type="dxa" w:w="2351"/>
          </w:tcPr>
          <w:p>
            <w:r/>
            <w:r>
              <w:rPr>
                <w:rFonts w:ascii="Calibri" w:hAnsi="Calibri"/>
                <w:color w:val="1F2937"/>
                <w:sz w:val="20"/>
              </w:rPr>
              <w:t>Opdracht §8</w:t>
            </w:r>
          </w:p>
        </w:tc>
        <w:tc>
          <w:tcPr>
            <w:tcW w:type="dxa" w:w="2351"/>
          </w:tcPr>
          <w:p>
            <w:r/>
            <w:r>
              <w:rPr>
                <w:rFonts w:ascii="Calibri" w:hAnsi="Calibri"/>
                <w:color w:val="1F2937"/>
                <w:sz w:val="20"/>
              </w:rPr>
              <w:t>✓ Pass</w:t>
            </w:r>
          </w:p>
        </w:tc>
        <w:tc>
          <w:tcPr>
            <w:tcW w:type="dxa" w:w="2351"/>
          </w:tcPr>
          <w:p>
            <w:r/>
            <w:r>
              <w:rPr>
                <w:rFonts w:ascii="Calibri" w:hAnsi="Calibri"/>
                <w:color w:val="1F2937"/>
                <w:sz w:val="20"/>
              </w:rPr>
              <w:t>64 items totaal</w:t>
            </w:r>
          </w:p>
        </w:tc>
      </w:tr>
      <w:tr>
        <w:tc>
          <w:tcPr>
            <w:tcW w:type="dxa" w:w="2351"/>
            <w:shd w:fill="F8F9FA" w:val="clear"/>
          </w:tcPr>
          <w:p>
            <w:r/>
            <w:r>
              <w:rPr>
                <w:rFonts w:ascii="Calibri" w:hAnsi="Calibri"/>
                <w:color w:val="1F2937"/>
                <w:sz w:val="20"/>
              </w:rPr>
              <w:t>Wettelijk kader geverifieerd</w:t>
            </w:r>
          </w:p>
        </w:tc>
        <w:tc>
          <w:tcPr>
            <w:tcW w:type="dxa" w:w="2351"/>
            <w:shd w:fill="F8F9FA" w:val="clear"/>
          </w:tcPr>
          <w:p>
            <w:r/>
            <w:r>
              <w:rPr>
                <w:rFonts w:ascii="Calibri" w:hAnsi="Calibri"/>
                <w:color w:val="1F2937"/>
                <w:sz w:val="20"/>
              </w:rPr>
              <w:t>Meta-Dossier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BRZO, NTA 8620, Seveso III, Arbobesluit</w:t>
            </w:r>
          </w:p>
        </w:tc>
      </w:tr>
      <w:tr>
        <w:tc>
          <w:tcPr>
            <w:tcW w:type="dxa" w:w="2351"/>
          </w:tcPr>
          <w:p>
            <w:r/>
            <w:r>
              <w:rPr>
                <w:rFonts w:ascii="Calibri" w:hAnsi="Calibri"/>
                <w:color w:val="1F2937"/>
                <w:sz w:val="20"/>
              </w:rPr>
              <w:t>Branding (logo, footer, kleuren)</w:t>
            </w:r>
          </w:p>
        </w:tc>
        <w:tc>
          <w:tcPr>
            <w:tcW w:type="dxa" w:w="2351"/>
          </w:tcPr>
          <w:p>
            <w:r/>
            <w:r>
              <w:rPr>
                <w:rFonts w:ascii="Calibri" w:hAnsi="Calibri"/>
                <w:color w:val="1F2937"/>
                <w:sz w:val="20"/>
              </w:rPr>
              <w:t>MASTER_STYLEGUIDE §8</w:t>
            </w:r>
          </w:p>
        </w:tc>
        <w:tc>
          <w:tcPr>
            <w:tcW w:type="dxa" w:w="2351"/>
          </w:tcPr>
          <w:p>
            <w:r/>
            <w:r>
              <w:rPr>
                <w:rFonts w:ascii="Calibri" w:hAnsi="Calibri"/>
                <w:color w:val="1F2937"/>
                <w:sz w:val="20"/>
              </w:rPr>
              <w:t>✓ Pass</w:t>
            </w:r>
          </w:p>
        </w:tc>
        <w:tc>
          <w:tcPr>
            <w:tcW w:type="dxa" w:w="2351"/>
          </w:tcPr>
          <w:p>
            <w:r/>
            <w:r>
              <w:rPr>
                <w:rFonts w:ascii="Calibri" w:hAnsi="Calibri"/>
                <w:color w:val="1F2937"/>
                <w:sz w:val="20"/>
              </w:rPr>
              <w:t>JvG logo + footer aanwezig</w:t>
            </w:r>
          </w:p>
        </w:tc>
      </w:tr>
      <w:tr>
        <w:tc>
          <w:tcPr>
            <w:tcW w:type="dxa" w:w="2351"/>
            <w:shd w:fill="F8F9FA" w:val="clear"/>
          </w:tcPr>
          <w:p>
            <w:r/>
            <w:r>
              <w:rPr>
                <w:rFonts w:ascii="Calibri" w:hAnsi="Calibri"/>
                <w:color w:val="1F2937"/>
                <w:sz w:val="20"/>
              </w:rPr>
              <w:t>Documentheader conform §2.1</w:t>
            </w:r>
          </w:p>
        </w:tc>
        <w:tc>
          <w:tcPr>
            <w:tcW w:type="dxa" w:w="2351"/>
            <w:shd w:fill="F8F9FA" w:val="clear"/>
          </w:tcPr>
          <w:p>
            <w:r/>
            <w:r>
              <w:rPr>
                <w:rFonts w:ascii="Calibri" w:hAnsi="Calibri"/>
                <w:color w:val="1F2937"/>
                <w:sz w:val="20"/>
              </w:rPr>
              <w:t>MASTER_STYLEGUIDE §2.1</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Alle velden ingevuld</w:t>
            </w:r>
          </w:p>
        </w:tc>
      </w:tr>
      <w:tr>
        <w:tc>
          <w:tcPr>
            <w:tcW w:type="dxa" w:w="2351"/>
          </w:tcPr>
          <w:p>
            <w:r/>
            <w:r>
              <w:rPr>
                <w:rFonts w:ascii="Calibri" w:hAnsi="Calibri"/>
                <w:color w:val="1F2937"/>
                <w:sz w:val="20"/>
              </w:rPr>
              <w:t>Geen AI-clichés</w:t>
            </w:r>
          </w:p>
        </w:tc>
        <w:tc>
          <w:tcPr>
            <w:tcW w:type="dxa" w:w="2351"/>
          </w:tcPr>
          <w:p>
            <w:r/>
            <w:r>
              <w:rPr>
                <w:rFonts w:ascii="Calibri" w:hAnsi="Calibri"/>
                <w:color w:val="1F2937"/>
                <w:sz w:val="20"/>
              </w:rPr>
              <w:t>MASTER_STYLEGUIDE §4.3</w:t>
            </w:r>
          </w:p>
        </w:tc>
        <w:tc>
          <w:tcPr>
            <w:tcW w:type="dxa" w:w="2351"/>
          </w:tcPr>
          <w:p>
            <w:r/>
            <w:r>
              <w:rPr>
                <w:rFonts w:ascii="Calibri" w:hAnsi="Calibri"/>
                <w:color w:val="1F2937"/>
                <w:sz w:val="20"/>
              </w:rPr>
              <w:t>✓ Pass</w:t>
            </w:r>
          </w:p>
        </w:tc>
        <w:tc>
          <w:tcPr>
            <w:tcW w:type="dxa" w:w="2351"/>
          </w:tcPr>
          <w:p>
            <w:r/>
            <w:r>
              <w:rPr>
                <w:rFonts w:ascii="Calibri" w:hAnsi="Calibri"/>
                <w:color w:val="1F2937"/>
                <w:sz w:val="20"/>
              </w:rPr>
              <w:t>Geen verboden zinsneden</w:t>
            </w:r>
          </w:p>
        </w:tc>
      </w:tr>
      <w:tr>
        <w:tc>
          <w:tcPr>
            <w:tcW w:type="dxa" w:w="2351"/>
            <w:shd w:fill="F8F9FA" w:val="clear"/>
          </w:tcPr>
          <w:p>
            <w:r/>
            <w:r>
              <w:rPr>
                <w:rFonts w:ascii="Calibri" w:hAnsi="Calibri"/>
                <w:color w:val="1F2937"/>
                <w:sz w:val="20"/>
              </w:rPr>
              <w:t>Koppeling MoC en FMECA</w:t>
            </w:r>
          </w:p>
        </w:tc>
        <w:tc>
          <w:tcPr>
            <w:tcW w:type="dxa" w:w="2351"/>
            <w:shd w:fill="F8F9FA" w:val="clear"/>
          </w:tcPr>
          <w:p>
            <w:r/>
            <w:r>
              <w:rPr>
                <w:rFonts w:ascii="Calibri" w:hAnsi="Calibri"/>
                <w:color w:val="1F2937"/>
                <w:sz w:val="20"/>
              </w:rPr>
              <w:t>Meta-Dossier §3</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Referenties [4][5] opgenomen</w:t>
            </w:r>
          </w:p>
        </w:tc>
      </w:tr>
    </w:tbl>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sz w:val="18"/>
        <w:color w:val="66666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