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72000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vg-logo-white-medium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jc w:val="center"/>
      </w:pPr>
      <w:r>
        <w:rPr>
          <w:rFonts w:ascii="Calibri" w:hAnsi="Calibri"/>
          <w:b/>
          <w:color w:val="003366"/>
          <w:sz w:val="48"/>
        </w:rPr>
        <w:t>PREVENTIEF &amp; CORRECTIEF ONDERHOUD</w:t>
      </w:r>
    </w:p>
    <w:p>
      <w:pPr>
        <w:jc w:val="center"/>
      </w:pPr>
      <w:r>
        <w:rPr>
          <w:rFonts w:ascii="Calibri" w:hAnsi="Calibri"/>
          <w:color w:val="1F2937"/>
          <w:sz w:val="32"/>
        </w:rPr>
        <w:t>VBS Element 3 — Document #5</w:t>
      </w:r>
    </w:p>
    <w:p>
      <w:pPr>
        <w:jc w:val="center"/>
      </w:pPr>
      <w:r>
        <w:rPr>
          <w:rFonts w:ascii="Calibri" w:hAnsi="Calibri"/>
          <w:color w:val="1F2937"/>
          <w:sz w:val="26"/>
        </w:rPr>
        <w:t>Phoenix Metals — Vanadium Recovery Plant, IJmuiden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1F2937"/>
                <w:sz w:val="22"/>
              </w:rPr>
              <w:t>Project</w:t>
            </w:r>
          </w:p>
        </w:tc>
        <w:tc>
          <w:tcPr>
            <w:tcW w:type="dxa" w:w="4703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2"/>
              </w:rPr>
              <w:t>2026-PM-VBS-Element3</w:t>
            </w:r>
          </w:p>
        </w:tc>
      </w:tr>
      <w:tr>
        <w:tc>
          <w:tcPr>
            <w:tcW w:type="dxa" w:w="4703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1F2937"/>
                <w:sz w:val="22"/>
              </w:rPr>
              <w:t>Type</w:t>
            </w:r>
          </w:p>
        </w:tc>
        <w:tc>
          <w:tcPr>
            <w:tcW w:type="dxa" w:w="4703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2"/>
              </w:rPr>
              <w:t>Procedure</w:t>
            </w:r>
          </w:p>
        </w:tc>
      </w:tr>
      <w:tr>
        <w:tc>
          <w:tcPr>
            <w:tcW w:type="dxa" w:w="4703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1F2937"/>
                <w:sz w:val="22"/>
              </w:rPr>
              <w:t>Auteur</w:t>
            </w:r>
          </w:p>
        </w:tc>
        <w:tc>
          <w:tcPr>
            <w:tcW w:type="dxa" w:w="4703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2"/>
              </w:rPr>
              <w:t>HQ_01 (HSEQ Specialist)</w:t>
            </w:r>
          </w:p>
        </w:tc>
      </w:tr>
      <w:tr>
        <w:tc>
          <w:tcPr>
            <w:tcW w:type="dxa" w:w="4703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1F2937"/>
                <w:sz w:val="22"/>
              </w:rPr>
              <w:t>Versie</w:t>
            </w:r>
          </w:p>
        </w:tc>
        <w:tc>
          <w:tcPr>
            <w:tcW w:type="dxa" w:w="4703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2"/>
              </w:rPr>
              <w:t>1.0</w:t>
            </w:r>
          </w:p>
        </w:tc>
      </w:tr>
      <w:tr>
        <w:tc>
          <w:tcPr>
            <w:tcW w:type="dxa" w:w="4703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1F2937"/>
                <w:sz w:val="22"/>
              </w:rPr>
              <w:t>Datum</w:t>
            </w:r>
          </w:p>
        </w:tc>
        <w:tc>
          <w:tcPr>
            <w:tcW w:type="dxa" w:w="4703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2"/>
              </w:rPr>
              <w:t>2026-04-29</w:t>
            </w:r>
          </w:p>
        </w:tc>
      </w:tr>
      <w:tr>
        <w:tc>
          <w:tcPr>
            <w:tcW w:type="dxa" w:w="4703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1F2937"/>
                <w:sz w:val="22"/>
              </w:rPr>
              <w:t>Status</w:t>
            </w:r>
          </w:p>
        </w:tc>
        <w:tc>
          <w:tcPr>
            <w:tcW w:type="dxa" w:w="4703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2"/>
              </w:rPr>
              <w:t>Final</w:t>
            </w:r>
          </w:p>
        </w:tc>
      </w:tr>
    </w:tbl>
    <w:p>
      <w:r>
        <w:br w:type="page"/>
      </w:r>
    </w:p>
    <w:p>
      <w:pPr>
        <w:pStyle w:val="Heading2"/>
      </w:pPr>
      <w:r>
        <w:rPr>
          <w:rFonts w:ascii="Calibri" w:hAnsi="Calibri"/>
          <w:color w:val="003366"/>
        </w:rPr>
        <w:t>Documentbeheersing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Versie</w:t>
            </w:r>
          </w:p>
        </w:tc>
        <w:tc>
          <w:tcPr>
            <w:tcW w:type="dxa" w:w="2351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Datum</w:t>
            </w:r>
          </w:p>
        </w:tc>
        <w:tc>
          <w:tcPr>
            <w:tcW w:type="dxa" w:w="2351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Auteur</w:t>
            </w:r>
          </w:p>
        </w:tc>
        <w:tc>
          <w:tcPr>
            <w:tcW w:type="dxa" w:w="2351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Wijziging</w:t>
            </w:r>
          </w:p>
        </w:tc>
      </w:tr>
      <w:tr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0.1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2026-04-28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HQ_01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Initieel concept</w:t>
            </w:r>
          </w:p>
        </w:tc>
      </w:tr>
      <w:tr>
        <w:tc>
          <w:tcPr>
            <w:tcW w:type="dxa" w:w="2351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1.0</w:t>
            </w:r>
          </w:p>
        </w:tc>
        <w:tc>
          <w:tcPr>
            <w:tcW w:type="dxa" w:w="2351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2026-04-29</w:t>
            </w:r>
          </w:p>
        </w:tc>
        <w:tc>
          <w:tcPr>
            <w:tcW w:type="dxa" w:w="2351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HQ_01</w:t>
            </w:r>
          </w:p>
        </w:tc>
        <w:tc>
          <w:tcPr>
            <w:tcW w:type="dxa" w:w="2351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Final — review verwerkt</w:t>
            </w:r>
          </w:p>
        </w:tc>
      </w:tr>
    </w:tbl>
    <w:p>
      <w:pPr>
        <w:pStyle w:val="Heading3"/>
      </w:pPr>
      <w:r>
        <w:rPr>
          <w:rFonts w:ascii="Calibri" w:hAnsi="Calibri"/>
          <w:color w:val="003366"/>
        </w:rPr>
        <w:t>Goedkeuring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Rol</w:t>
            </w:r>
          </w:p>
        </w:tc>
        <w:tc>
          <w:tcPr>
            <w:tcW w:type="dxa" w:w="2351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Naam</w:t>
            </w:r>
          </w:p>
        </w:tc>
        <w:tc>
          <w:tcPr>
            <w:tcW w:type="dxa" w:w="2351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Datum</w:t>
            </w:r>
          </w:p>
        </w:tc>
        <w:tc>
          <w:tcPr>
            <w:tcW w:type="dxa" w:w="2351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Handtekening</w:t>
            </w:r>
          </w:p>
        </w:tc>
      </w:tr>
      <w:tr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Opsteller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HQ_01 HSEQ Specialist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2026-04-29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</w:r>
          </w:p>
        </w:tc>
      </w:tr>
      <w:tr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Reviewer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Kas (Director of Operations)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2026-04-29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</w:r>
          </w:p>
        </w:tc>
      </w:tr>
      <w:tr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Goedkeuring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Jorick (Directie)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2026-04-29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</w:r>
          </w:p>
        </w:tc>
      </w:tr>
    </w:tbl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1. Doel &amp; Scope</w:t>
      </w:r>
    </w:p>
    <w:p>
      <w:pPr>
        <w:pStyle w:val="Heading2"/>
      </w:pPr>
      <w:r>
        <w:rPr>
          <w:rFonts w:ascii="Calibri" w:hAnsi="Calibri"/>
          <w:color w:val="003366"/>
        </w:rPr>
        <w:t>1.1 Doel</w:t>
      </w:r>
    </w:p>
    <w:p>
      <w:r>
        <w:rPr>
          <w:rFonts w:ascii="Calibri" w:hAnsi="Calibri"/>
          <w:b w:val="0"/>
          <w:color w:val="1F2937"/>
          <w:sz w:val="22"/>
        </w:rPr>
        <w:t>Dit document definieert het systematische onderhoudsprogramma voor alle kritieke procesinstallaties bij Phoenix Metals, conform PS-510 (Preventief Onderhoud) en PS-520 (Correctief Onderhoud) [1][2]. Het doel is het waarborgen van de integriteit, beschikbaarheid en veiligheid van installaties gedurende de volledige levenscyclus, met expliciete koppeling naar de FMECA-analyse uit Element 2 Document #04 [3].</w:t>
      </w:r>
    </w:p>
    <w:p>
      <w:r>
        <w:rPr>
          <w:rFonts w:ascii="Calibri" w:hAnsi="Calibri"/>
          <w:b w:val="0"/>
          <w:color w:val="1F2937"/>
          <w:sz w:val="22"/>
        </w:rPr>
        <w:t>Het onderhoudsprogramma minimaliseert ongeplande stilstand, reduceert veiligheidsrisico's en zorgt voor compliance met BRZO 2015 Art. 7 [4] en NTA 8620 [6].</w:t>
      </w:r>
    </w:p>
    <w:p>
      <w:pPr>
        <w:pStyle w:val="Heading2"/>
      </w:pPr>
      <w:r>
        <w:rPr>
          <w:rFonts w:ascii="Calibri" w:hAnsi="Calibri"/>
          <w:color w:val="003366"/>
        </w:rPr>
        <w:t>1.2 Scope</w:t>
      </w:r>
    </w:p>
    <w:p>
      <w:r>
        <w:rPr>
          <w:rFonts w:ascii="Calibri" w:hAnsi="Calibri"/>
          <w:b w:val="0"/>
          <w:color w:val="1F2937"/>
          <w:sz w:val="22"/>
        </w:rPr>
        <w:t>Dit document is van toepassing op de volgende installatieonderdelen van de Phoenix Metals vanadium recovery plant:</w:t>
      </w:r>
    </w:p>
    <w:p>
      <w:pPr>
        <w:pStyle w:val="ListBullet"/>
      </w:pPr>
      <w:r>
        <w:t>Reactor (uitlogingsinstallatie)</w:t>
      </w:r>
    </w:p>
    <w:p>
      <w:pPr>
        <w:pStyle w:val="ListBullet"/>
      </w:pPr>
      <w:r>
        <w:t>Uitlogingsinstallatie (leaching unit)</w:t>
      </w:r>
    </w:p>
    <w:p>
      <w:pPr>
        <w:pStyle w:val="ListBullet"/>
      </w:pPr>
      <w:r>
        <w:t>Filtratiesysteem (filterpersen, cartridge filters)</w:t>
      </w:r>
    </w:p>
    <w:p>
      <w:pPr>
        <w:pStyle w:val="ListBullet"/>
      </w:pPr>
      <w:r>
        <w:t>Zuiveringsinstallatie (ionenuitwisseling, solvent extractie)</w:t>
      </w:r>
    </w:p>
    <w:p>
      <w:pPr>
        <w:pStyle w:val="ListBullet"/>
      </w:pPr>
      <w:r>
        <w:t>Droog-/calcinatieoven</w:t>
      </w:r>
    </w:p>
    <w:p>
      <w:pPr>
        <w:pStyle w:val="ListBullet"/>
      </w:pPr>
      <w:r>
        <w:t>Verpakkingslijn (big-bag vulsysteem, ATEX-zones)</w:t>
      </w:r>
    </w:p>
    <w:p>
      <w:pPr>
        <w:pStyle w:val="ListBullet"/>
      </w:pPr>
      <w:r>
        <w:t>Opslagtanks (H₂SO₄, NaOH, procesvloeistoffen)</w:t>
      </w:r>
    </w:p>
    <w:p>
      <w:pPr>
        <w:pStyle w:val="ListBullet"/>
      </w:pPr>
      <w:r>
        <w:t>Leidingen, pompen en kleppen</w:t>
      </w:r>
    </w:p>
    <w:p>
      <w:pPr>
        <w:pStyle w:val="ListBullet"/>
      </w:pPr>
      <w:r>
        <w:t>Instrumentatie en veiligheidskritische systemen</w:t>
      </w:r>
    </w:p>
    <w:p>
      <w:r>
        <w:rPr>
          <w:rFonts w:ascii="Calibri" w:hAnsi="Calibri"/>
          <w:b w:val="0"/>
          <w:color w:val="1F2937"/>
          <w:sz w:val="22"/>
        </w:rPr>
        <w:t>De koppeling met de FMECA (Element 2, Document #04) [3] zorgt ervoor dat onderhoudsinspanningen prioriteit krijgen op basis van risicoprofielen (RPN-scores) en kritiekheid van installatieonderdelen.</w:t>
      </w:r>
    </w:p>
    <w:p>
      <w:pPr>
        <w:pStyle w:val="Heading1"/>
      </w:pPr>
      <w:r>
        <w:rPr>
          <w:rFonts w:ascii="Calibri" w:hAnsi="Calibri"/>
          <w:color w:val="003366"/>
        </w:rPr>
        <w:t>2. Wettelijk Kader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Wetgeving / Norm</w:t>
            </w:r>
          </w:p>
        </w:tc>
        <w:tc>
          <w:tcPr>
            <w:tcW w:type="dxa" w:w="3135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Relevantie</w:t>
            </w:r>
          </w:p>
        </w:tc>
        <w:tc>
          <w:tcPr>
            <w:tcW w:type="dxa" w:w="3135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Ref.</w:t>
            </w:r>
          </w:p>
        </w:tc>
      </w:tr>
      <w:tr>
        <w:tc>
          <w:tcPr>
            <w:tcW w:type="dxa" w:w="3135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BRZO 2015, Art. 7</w:t>
            </w:r>
          </w:p>
        </w:tc>
        <w:tc>
          <w:tcPr>
            <w:tcW w:type="dxa" w:w="3135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Preventief en correctief onderhoud als onderdeel van Element IV (Controle op de Exploitatie)</w:t>
            </w:r>
          </w:p>
        </w:tc>
        <w:tc>
          <w:tcPr>
            <w:tcW w:type="dxa" w:w="3135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[4]</w:t>
            </w:r>
          </w:p>
        </w:tc>
      </w:tr>
      <w:tr>
        <w:tc>
          <w:tcPr>
            <w:tcW w:type="dxa" w:w="3135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NTA 8620</w:t>
            </w:r>
          </w:p>
        </w:tc>
        <w:tc>
          <w:tcPr>
            <w:tcW w:type="dxa" w:w="3135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Onderhoudsmanagement voor Seveso-inrichtingen; eisen aan inspectie- en keuringsprogramma's</w:t>
            </w:r>
          </w:p>
        </w:tc>
        <w:tc>
          <w:tcPr>
            <w:tcW w:type="dxa" w:w="3135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[6]</w:t>
            </w:r>
          </w:p>
        </w:tc>
      </w:tr>
      <w:tr>
        <w:tc>
          <w:tcPr>
            <w:tcW w:type="dxa" w:w="3135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Arbobesluit</w:t>
            </w:r>
          </w:p>
        </w:tc>
        <w:tc>
          <w:tcPr>
            <w:tcW w:type="dxa" w:w="3135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Algemene zorgplicht werkgever; specifieke eisen voor arbeidsmiddelen en onderhoud</w:t>
            </w:r>
          </w:p>
        </w:tc>
        <w:tc>
          <w:tcPr>
            <w:tcW w:type="dxa" w:w="3135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[6]</w:t>
            </w:r>
          </w:p>
        </w:tc>
      </w:tr>
      <w:tr>
        <w:tc>
          <w:tcPr>
            <w:tcW w:type="dxa" w:w="3135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NEN-EN 13306</w:t>
            </w:r>
          </w:p>
        </w:tc>
        <w:tc>
          <w:tcPr>
            <w:tcW w:type="dxa" w:w="3135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Terminologie voor onderhoudstypen en -concepten</w:t>
            </w:r>
          </w:p>
        </w:tc>
        <w:tc>
          <w:tcPr>
            <w:tcW w:type="dxa" w:w="3135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[5]</w:t>
            </w:r>
          </w:p>
        </w:tc>
      </w:tr>
      <w:tr>
        <w:tc>
          <w:tcPr>
            <w:tcW w:type="dxa" w:w="3135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Besluit Drukapparatuur</w:t>
            </w:r>
          </w:p>
        </w:tc>
        <w:tc>
          <w:tcPr>
            <w:tcW w:type="dxa" w:w="3135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Periodieke keuring van drukvaten en leidingen</w:t>
            </w:r>
          </w:p>
        </w:tc>
        <w:tc>
          <w:tcPr>
            <w:tcW w:type="dxa" w:w="3135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[6]</w:t>
            </w:r>
          </w:p>
        </w:tc>
      </w:tr>
    </w:tbl>
    <w:p>
      <w:pPr>
        <w:pStyle w:val="Heading1"/>
      </w:pPr>
      <w:r>
        <w:rPr>
          <w:rFonts w:ascii="Calibri" w:hAnsi="Calibri"/>
          <w:color w:val="003366"/>
        </w:rPr>
        <w:t>3. Definities &amp; Afkortingen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Term / Afkorting</w:t>
            </w:r>
          </w:p>
        </w:tc>
        <w:tc>
          <w:tcPr>
            <w:tcW w:type="dxa" w:w="4703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Definitie</w:t>
            </w:r>
          </w:p>
        </w:tc>
      </w:tr>
      <w:tr>
        <w:tc>
          <w:tcPr>
            <w:tcW w:type="dxa" w:w="4703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1F2937"/>
                <w:sz w:val="20"/>
              </w:rPr>
              <w:t>Preventief onderhoud</w:t>
            </w:r>
          </w:p>
        </w:tc>
        <w:tc>
          <w:tcPr>
            <w:tcW w:type="dxa" w:w="4703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Onderhoud uitgevoerd op basis van een vast interval of conditie, vóór het optreden van een storing [5]</w:t>
            </w:r>
          </w:p>
        </w:tc>
      </w:tr>
      <w:tr>
        <w:tc>
          <w:tcPr>
            <w:tcW w:type="dxa" w:w="4703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1F2937"/>
                <w:sz w:val="20"/>
              </w:rPr>
              <w:t>Correctief onderhoud</w:t>
            </w:r>
          </w:p>
        </w:tc>
        <w:tc>
          <w:tcPr>
            <w:tcW w:type="dxa" w:w="4703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Onderhoud uitgevoerd ná het optreden van een storing of defect [5]</w:t>
            </w:r>
          </w:p>
        </w:tc>
      </w:tr>
      <w:tr>
        <w:tc>
          <w:tcPr>
            <w:tcW w:type="dxa" w:w="4703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1F2937"/>
                <w:sz w:val="20"/>
              </w:rPr>
              <w:t>Predictief onderhoud</w:t>
            </w:r>
          </w:p>
        </w:tc>
        <w:tc>
          <w:tcPr>
            <w:tcW w:type="dxa" w:w="4703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Onderhoud gebaseerd op data-analyse en trendmonitoring ter voorspelling van verwacht falen [5]</w:t>
            </w:r>
          </w:p>
        </w:tc>
      </w:tr>
      <w:tr>
        <w:tc>
          <w:tcPr>
            <w:tcW w:type="dxa" w:w="4703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1F2937"/>
                <w:sz w:val="20"/>
              </w:rPr>
              <w:t>RCM (Reliability Centered Maintenance)</w:t>
            </w:r>
          </w:p>
        </w:tc>
        <w:tc>
          <w:tcPr>
            <w:tcW w:type="dxa" w:w="4703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Systematische methode om de meest effectieve onderhoudsstrategie per component te bepalen</w:t>
            </w:r>
          </w:p>
        </w:tc>
      </w:tr>
      <w:tr>
        <w:tc>
          <w:tcPr>
            <w:tcW w:type="dxa" w:w="4703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1F2937"/>
                <w:sz w:val="20"/>
              </w:rPr>
              <w:t>Kritiek onderdeel</w:t>
            </w:r>
          </w:p>
        </w:tc>
        <w:tc>
          <w:tcPr>
            <w:tcW w:type="dxa" w:w="4703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Component waarvan falen leidt tot significant veiligheidsrisico, stilstand of milieuprobleem</w:t>
            </w:r>
          </w:p>
        </w:tc>
      </w:tr>
      <w:tr>
        <w:tc>
          <w:tcPr>
            <w:tcW w:type="dxa" w:w="4703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1F2937"/>
                <w:sz w:val="20"/>
              </w:rPr>
              <w:t>MTBF (Mean Time Between Failures)</w:t>
            </w:r>
          </w:p>
        </w:tc>
        <w:tc>
          <w:tcPr>
            <w:tcW w:type="dxa" w:w="4703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Gemiddelde tijd tussen opeenvolgende storingen van een component</w:t>
            </w:r>
          </w:p>
        </w:tc>
      </w:tr>
      <w:tr>
        <w:tc>
          <w:tcPr>
            <w:tcW w:type="dxa" w:w="4703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1F2937"/>
                <w:sz w:val="20"/>
              </w:rPr>
              <w:t>MTTR (Mean Time To Repair)</w:t>
            </w:r>
          </w:p>
        </w:tc>
        <w:tc>
          <w:tcPr>
            <w:tcW w:type="dxa" w:w="4703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Gemiddelde tijd nodig om een storing te verhelpen</w:t>
            </w:r>
          </w:p>
        </w:tc>
      </w:tr>
      <w:tr>
        <w:tc>
          <w:tcPr>
            <w:tcW w:type="dxa" w:w="4703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1F2937"/>
                <w:sz w:val="20"/>
              </w:rPr>
              <w:t>Beschikbaarheid</w:t>
            </w:r>
          </w:p>
        </w:tc>
        <w:tc>
          <w:tcPr>
            <w:tcW w:type="dxa" w:w="4703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Ratio van operationele tijd ten opzichte van totale geplande tijd (MTBF / (MTBF + MTTR))</w:t>
            </w:r>
          </w:p>
        </w:tc>
      </w:tr>
    </w:tbl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4. Onderhoudsstrategieën</w:t>
      </w:r>
    </w:p>
    <w:p>
      <w:r>
        <w:rPr>
          <w:rFonts w:ascii="Calibri" w:hAnsi="Calibri"/>
          <w:b w:val="0"/>
          <w:color w:val="1F2937"/>
          <w:sz w:val="22"/>
        </w:rPr>
        <w:t>Phoenix Metals hanteert een gecombineerde onderhoudsstrategie gebaseerd op NEN-EN 13306 [5] en de RCM-methodiek. De keuze van strategie per component is gebaseerd op FMECA-risicoprofielen, kritiekheid en kosten-batenanalyse.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Strategie</w:t>
            </w:r>
          </w:p>
        </w:tc>
        <w:tc>
          <w:tcPr>
            <w:tcW w:type="dxa" w:w="3135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Toepassing</w:t>
            </w:r>
          </w:p>
        </w:tc>
        <w:tc>
          <w:tcPr>
            <w:tcW w:type="dxa" w:w="3135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Voorbeeld Phoenix Metals</w:t>
            </w:r>
          </w:p>
        </w:tc>
      </w:tr>
      <w:tr>
        <w:tc>
          <w:tcPr>
            <w:tcW w:type="dxa" w:w="3135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Preventief (tijd-gebaseerd)</w:t>
            </w:r>
          </w:p>
        </w:tc>
        <w:tc>
          <w:tcPr>
            <w:tcW w:type="dxa" w:w="3135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Vervanging op vast interval</w:t>
            </w:r>
          </w:p>
        </w:tc>
        <w:tc>
          <w:tcPr>
            <w:tcW w:type="dxa" w:w="3135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Seals, filters, pakkingen reactor</w:t>
            </w:r>
          </w:p>
        </w:tc>
      </w:tr>
      <w:tr>
        <w:tc>
          <w:tcPr>
            <w:tcW w:type="dxa" w:w="3135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Preventief (conditie-gebaseerd)</w:t>
            </w:r>
          </w:p>
        </w:tc>
        <w:tc>
          <w:tcPr>
            <w:tcW w:type="dxa" w:w="3135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Monitoring + actie bij drempelwaarde</w:t>
            </w:r>
          </w:p>
        </w:tc>
        <w:tc>
          <w:tcPr>
            <w:tcW w:type="dxa" w:w="3135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Trillingsmeting pompen, temperatuur lagers</w:t>
            </w:r>
          </w:p>
        </w:tc>
      </w:tr>
      <w:tr>
        <w:tc>
          <w:tcPr>
            <w:tcW w:type="dxa" w:w="3135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Predictief</w:t>
            </w:r>
          </w:p>
        </w:tc>
        <w:tc>
          <w:tcPr>
            <w:tcW w:type="dxa" w:w="3135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Data-analytics en trendanalyse</w:t>
            </w:r>
          </w:p>
        </w:tc>
        <w:tc>
          <w:tcPr>
            <w:tcW w:type="dxa" w:w="3135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Trendanalyse drukval filters, olie-analyse</w:t>
            </w:r>
          </w:p>
        </w:tc>
      </w:tr>
      <w:tr>
        <w:tc>
          <w:tcPr>
            <w:tcW w:type="dxa" w:w="3135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Correctief (gepland)</w:t>
            </w:r>
          </w:p>
        </w:tc>
        <w:tc>
          <w:tcPr>
            <w:tcW w:type="dxa" w:w="3135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Bekende defecten, geplande reparatie</w:t>
            </w:r>
          </w:p>
        </w:tc>
        <w:tc>
          <w:tcPr>
            <w:tcW w:type="dxa" w:w="3135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Vervanging versleten roerder, geplande sealrevisie</w:t>
            </w:r>
          </w:p>
        </w:tc>
      </w:tr>
      <w:tr>
        <w:tc>
          <w:tcPr>
            <w:tcW w:type="dxa" w:w="3135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Correctief (ongepland)</w:t>
            </w:r>
          </w:p>
        </w:tc>
        <w:tc>
          <w:tcPr>
            <w:tcW w:type="dxa" w:w="3135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Storingsreactie</w:t>
            </w:r>
          </w:p>
        </w:tc>
        <w:tc>
          <w:tcPr>
            <w:tcW w:type="dxa" w:w="3135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Pompstoring, onverwachte lekkage, sensoruitval</w:t>
            </w:r>
          </w:p>
        </w:tc>
      </w:tr>
    </w:tbl>
    <w:p>
      <w:pPr>
        <w:pStyle w:val="Heading1"/>
      </w:pPr>
      <w:r>
        <w:rPr>
          <w:rFonts w:ascii="Calibri" w:hAnsi="Calibri"/>
          <w:color w:val="003366"/>
        </w:rPr>
        <w:t>5. Kritieke Onderdelen Register</w:t>
      </w:r>
    </w:p>
    <w:p>
      <w:r>
        <w:rPr>
          <w:rFonts w:ascii="Calibri" w:hAnsi="Calibri"/>
          <w:b w:val="0"/>
          <w:color w:val="1F2937"/>
          <w:sz w:val="22"/>
        </w:rPr>
        <w:t>Het register hieronder is direct afgeleid van de FMECA-analyse (Element 2, Document #04) [3]. RPN-classificaties (hoog/middel/laag) bepalen de onderhoudsfrequentie en -intensiteit.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568"/>
        <w:gridCol w:w="1568"/>
        <w:gridCol w:w="1568"/>
        <w:gridCol w:w="1568"/>
        <w:gridCol w:w="1568"/>
        <w:gridCol w:w="1568"/>
      </w:tblGrid>
      <w:tr>
        <w:tc>
          <w:tcPr>
            <w:tcW w:type="dxa" w:w="1568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Onderdeel</w:t>
            </w:r>
          </w:p>
        </w:tc>
        <w:tc>
          <w:tcPr>
            <w:tcW w:type="dxa" w:w="1568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Processtap</w:t>
            </w:r>
          </w:p>
        </w:tc>
        <w:tc>
          <w:tcPr>
            <w:tcW w:type="dxa" w:w="1568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FMECA FM-ID</w:t>
            </w:r>
          </w:p>
        </w:tc>
        <w:tc>
          <w:tcPr>
            <w:tcW w:type="dxa" w:w="1568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RPN</w:t>
            </w:r>
          </w:p>
        </w:tc>
        <w:tc>
          <w:tcPr>
            <w:tcW w:type="dxa" w:w="1568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Onderhoudsfrequentie</w:t>
            </w:r>
          </w:p>
        </w:tc>
        <w:tc>
          <w:tcPr>
            <w:tcW w:type="dxa" w:w="1568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Type</w:t>
            </w:r>
          </w:p>
        </w:tc>
      </w:tr>
      <w:tr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Reactor lekdichting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Uitloging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FM-05</w:t>
            </w:r>
          </w:p>
        </w:tc>
        <w:tc>
          <w:tcPr>
            <w:tcW w:type="dxa" w:w="1568"/>
          </w:tcPr>
          <w:p>
            <w:pPr>
              <w:jc w:val="left"/>
            </w:pPr>
            <w:r>
              <w:rPr>
                <w:b/>
                <w:color w:val="EF4444"/>
              </w:rPr>
            </w:r>
            <w:r>
              <w:rPr>
                <w:rFonts w:ascii="Calibri" w:hAnsi="Calibri"/>
                <w:b/>
                <w:color w:val="EF4444"/>
                <w:sz w:val="18"/>
              </w:rPr>
              <w:t>Hoog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6 maandelijks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Preventief</w:t>
            </w:r>
          </w:p>
        </w:tc>
      </w:tr>
      <w:tr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Roerder/mixer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Uitloging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FM-06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Middel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12 maandelijks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Preventief</w:t>
            </w:r>
          </w:p>
        </w:tc>
      </w:tr>
      <w:tr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Drukventiel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Uitloging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FM-08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Middel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3 maandelijks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Preventief + kalibratie</w:t>
            </w:r>
          </w:p>
        </w:tc>
      </w:tr>
      <w:tr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Filter elementen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Filtratie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FM-09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Middel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Per batch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Preventief</w:t>
            </w:r>
          </w:p>
        </w:tc>
      </w:tr>
      <w:tr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Pompen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Filtratie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FM-10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Middel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6 maandelijks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Preventief</w:t>
            </w:r>
          </w:p>
        </w:tc>
      </w:tr>
      <w:tr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Temperatuursensoren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Drogen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FM-15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>
              <w:rPr>
                <w:b/>
                <w:color w:val="EF4444"/>
              </w:rPr>
            </w:r>
            <w:r>
              <w:rPr>
                <w:rFonts w:ascii="Calibri" w:hAnsi="Calibri"/>
                <w:b/>
                <w:color w:val="EF4444"/>
                <w:sz w:val="18"/>
              </w:rPr>
              <w:t>Hoog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3 maandelijks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Kalibratie</w:t>
            </w:r>
          </w:p>
        </w:tc>
      </w:tr>
      <w:tr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Stofafvangsysteem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Drogen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FM-16</w:t>
            </w:r>
          </w:p>
        </w:tc>
        <w:tc>
          <w:tcPr>
            <w:tcW w:type="dxa" w:w="1568"/>
          </w:tcPr>
          <w:p>
            <w:pPr>
              <w:jc w:val="left"/>
            </w:pPr>
            <w:r>
              <w:rPr>
                <w:b/>
                <w:color w:val="EF4444"/>
              </w:rPr>
            </w:r>
            <w:r>
              <w:rPr>
                <w:rFonts w:ascii="Calibri" w:hAnsi="Calibri"/>
                <w:b/>
                <w:color w:val="EF4444"/>
                <w:sz w:val="18"/>
              </w:rPr>
              <w:t>Hoog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Maandelijks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Preventief</w:t>
            </w:r>
          </w:p>
        </w:tc>
      </w:tr>
      <w:tr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ATEX apparatuur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Verpakking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FM-20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>
              <w:rPr>
                <w:b/>
                <w:color w:val="EF4444"/>
              </w:rPr>
            </w:r>
            <w:r>
              <w:rPr>
                <w:rFonts w:ascii="Calibri" w:hAnsi="Calibri"/>
                <w:b/>
                <w:color w:val="EF4444"/>
                <w:sz w:val="18"/>
              </w:rPr>
              <w:t>Hoog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Jaarlijks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Preventief + inspectie</w:t>
            </w:r>
          </w:p>
        </w:tc>
      </w:tr>
      <w:tr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Big-bag vulsysteem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Verpakking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FM-18/19</w:t>
            </w:r>
          </w:p>
        </w:tc>
        <w:tc>
          <w:tcPr>
            <w:tcW w:type="dxa" w:w="1568"/>
          </w:tcPr>
          <w:p>
            <w:pPr>
              <w:jc w:val="left"/>
            </w:pPr>
            <w:r>
              <w:rPr>
                <w:b/>
                <w:color w:val="EF4444"/>
              </w:rPr>
            </w:r>
            <w:r>
              <w:rPr>
                <w:rFonts w:ascii="Calibri" w:hAnsi="Calibri"/>
                <w:b/>
                <w:color w:val="EF4444"/>
                <w:sz w:val="18"/>
              </w:rPr>
              <w:t>Hoog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6 maandelijks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Preventief</w:t>
            </w:r>
          </w:p>
        </w:tc>
      </w:tr>
    </w:tbl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6. Preventief Onderhoudsplan (PS-510)</w:t>
      </w:r>
    </w:p>
    <w:p>
      <w:r>
        <w:rPr>
          <w:rFonts w:ascii="Calibri" w:hAnsi="Calibri"/>
          <w:b w:val="0"/>
          <w:color w:val="1F2937"/>
          <w:sz w:val="22"/>
        </w:rPr>
        <w:t>Het preventief onderhoudsplan bevat minimaal de hieronder genoemde activiteiten, verdeeld over de acht processtappen van de Phoenix Metals installatie. Alle activiteiten conform PS-510 [1].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568"/>
        <w:gridCol w:w="1568"/>
        <w:gridCol w:w="1568"/>
        <w:gridCol w:w="1568"/>
        <w:gridCol w:w="1568"/>
        <w:gridCol w:w="1568"/>
      </w:tblGrid>
      <w:tr>
        <w:tc>
          <w:tcPr>
            <w:tcW w:type="dxa" w:w="1568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Onderdeel</w:t>
            </w:r>
          </w:p>
        </w:tc>
        <w:tc>
          <w:tcPr>
            <w:tcW w:type="dxa" w:w="1568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Activiteit</w:t>
            </w:r>
          </w:p>
        </w:tc>
        <w:tc>
          <w:tcPr>
            <w:tcW w:type="dxa" w:w="1568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Frequentie</w:t>
            </w:r>
          </w:p>
        </w:tc>
        <w:tc>
          <w:tcPr>
            <w:tcW w:type="dxa" w:w="1568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Verantwoordelijke</w:t>
            </w:r>
          </w:p>
        </w:tc>
        <w:tc>
          <w:tcPr>
            <w:tcW w:type="dxa" w:w="1568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Middelen</w:t>
            </w:r>
          </w:p>
        </w:tc>
        <w:tc>
          <w:tcPr>
            <w:tcW w:type="dxa" w:w="1568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Status</w:t>
            </w:r>
          </w:p>
        </w:tc>
      </w:tr>
      <w:tr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Reactor lekdichting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Inspectie en vervanging seals/pakkingen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6 maandelijks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Onderhoudstechnicus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Seal-kit, gereedschap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Actief</w:t>
            </w:r>
          </w:p>
        </w:tc>
      </w:tr>
      <w:tr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Roerder/mixer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Visuele inspectie, lagercontrole, trillingsmeting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12 maandelijks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Onderhoudstechnicus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Trillingsmeter, gereedschap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Actief</w:t>
            </w:r>
          </w:p>
        </w:tc>
      </w:tr>
      <w:tr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Drukventielen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Functionele test en kalibratie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3 maandelijks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Instrumentatietechnicus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Kalibrator, testapparaat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Actief</w:t>
            </w:r>
          </w:p>
        </w:tc>
      </w:tr>
      <w:tr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Filter elementen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Controle drukval, vervanging elementen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Per batch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Operator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Reserve filters, gereedschap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Actief</w:t>
            </w:r>
          </w:p>
        </w:tc>
      </w:tr>
      <w:tr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Circulatiepompen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Inspectie lekkage, trillingsmeting, smeermiddelcontrole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6 maandelijks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Onderhoudstechnicus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Trillingsmeter, smeermiddel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Actief</w:t>
            </w:r>
          </w:p>
        </w:tc>
      </w:tr>
      <w:tr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Temperatuursensoren (droogoven)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Kalibratie tegen referentiesensor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3 maandelijks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Instrumentatietechnicus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Kalibrator, referentiesensor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Actief</w:t>
            </w:r>
          </w:p>
        </w:tc>
      </w:tr>
      <w:tr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Stofafvangsysteem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Inspectie filters, reiniging kanalen, debietmeting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Maandelijks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Operator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Reinigingsmateriaal, manometer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Actief</w:t>
            </w:r>
          </w:p>
        </w:tc>
      </w:tr>
      <w:tr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ATEX apparatuur (verpakking)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Visuele inspectie, Ex-klemmen controle, certificering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Jaarlijks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Ex-inspecteur (gecertificeerd)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Ex-testset, certificeringsformulier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Actief</w:t>
            </w:r>
          </w:p>
        </w:tc>
      </w:tr>
      <w:tr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Big-bag vulsysteem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Inspectie vulmechanisme, weegcel kalibratie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6 maandelijks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Onderhoudstechnicus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Kalibratiegewichten, gereedschap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Actief</w:t>
            </w:r>
          </w:p>
        </w:tc>
      </w:tr>
      <w:tr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Opslagtanks (H₂SO₄, NaOH)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Inspectie wanddikte, lekdetectietest, klepcontrole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12 maandelijks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Inspectiebedrijf (gecertificeerd)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Ultrasone diktemeter, NDT-apparatuur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Actief</w:t>
            </w:r>
          </w:p>
        </w:tc>
      </w:tr>
      <w:tr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Leidingen en flensen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Visuele inspectie, lekdetectie, kleppen functionaliteit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6 maandelijks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Onderhoudstechnicus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LE-testsprei, gereedschap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Actief</w:t>
            </w:r>
          </w:p>
        </w:tc>
      </w:tr>
      <w:tr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Zwavelzuurdoseersysteem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Controle doseerpomp, leidingen, afdichtingen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3 maandelijks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Onderhoudstechnicus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Reserve onderdelen, gereedschap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Actief</w:t>
            </w:r>
          </w:p>
        </w:tc>
      </w:tr>
      <w:tr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Calcïnatieoven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Inspectie branders, thermische isolatie, afvoergassen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6 maandelijks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Onderhoudstechnicus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Thermografie camera, gasanalysator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Actief</w:t>
            </w:r>
          </w:p>
        </w:tc>
      </w:tr>
      <w:tr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Ionenuitwisseling / solvent extractie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Controle kolommen, harsconditie, kleppen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6 maandelijks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Procestechnicus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Hars-testkit, gereedschap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Actief</w:t>
            </w:r>
          </w:p>
        </w:tc>
      </w:tr>
      <w:tr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Noodstop- en interlocksysteem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Functionele test alle veiligheidsinterlocks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6 maandelijks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Instrumentatietechnicus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Testprotocollen, simulators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Actief</w:t>
            </w:r>
          </w:p>
        </w:tc>
      </w:tr>
    </w:tbl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7. Correctief Onderhoudsproces (PS-520)</w:t>
      </w:r>
    </w:p>
    <w:p>
      <w:r>
        <w:rPr>
          <w:rFonts w:ascii="Calibri" w:hAnsi="Calibri"/>
          <w:b w:val="0"/>
          <w:color w:val="1F2937"/>
          <w:sz w:val="22"/>
        </w:rPr>
        <w:t>Het correctief onderhoudsproces conform PS-520 [2] volgt een vast zeven-stappen protocol. Elke stap vereist documentatie en goedkeuring vóórdat de volgende stap wordt gestart.</w:t>
      </w:r>
    </w:p>
    <w:p>
      <w:pPr>
        <w:pStyle w:val="Heading2"/>
      </w:pPr>
      <w:r>
        <w:rPr>
          <w:rFonts w:ascii="Calibri" w:hAnsi="Calibri"/>
          <w:color w:val="003366"/>
        </w:rPr>
        <w:t>Stap 1: Storing melden</w:t>
      </w:r>
    </w:p>
    <w:p>
      <w:r>
        <w:rPr>
          <w:rFonts w:ascii="Calibri" w:hAnsi="Calibri"/>
          <w:b w:val="0"/>
          <w:color w:val="1F2937"/>
          <w:sz w:val="22"/>
        </w:rPr>
        <w:t>De operator meldt de storing via het incident reporting systeem. De melding bevat: locatie, installatieonderdeel, aard van de storing, directe risico's en eerste indicatie van ernst. De melding wordt geregistreerd in het CMMS.</w:t>
      </w:r>
    </w:p>
    <w:p>
      <w:pPr>
        <w:pStyle w:val="Heading2"/>
      </w:pPr>
      <w:r>
        <w:rPr>
          <w:rFonts w:ascii="Calibri" w:hAnsi="Calibri"/>
          <w:color w:val="003366"/>
        </w:rPr>
        <w:t>Stap 2: Prioriteitsbepaling</w:t>
      </w:r>
    </w:p>
    <w:p>
      <w:r>
        <w:rPr>
          <w:rFonts w:ascii="Calibri" w:hAnsi="Calibri"/>
          <w:b w:val="0"/>
          <w:color w:val="1F2937"/>
          <w:sz w:val="22"/>
        </w:rPr>
        <w:t>De onderhoudscoördinator classificeert de storing als kritiek of niet-kritiek op basis van:</w:t>
        <w:br/>
        <w:t>• Veiligheidsrisico (direct gevaar voor personen/milieu)</w:t>
        <w:br/>
        <w:t>• Procesimpact (productiestilstand, kwaliteitsverlies)</w:t>
        <w:br/>
        <w:t>• Beschikbaarheid van reserveonderdelen</w:t>
        <w:br/>
        <w:t>• Vertragingsrisico</w:t>
        <w:br/>
        <w:t>Kritieke storingen krijgen prioriteit en vereisen directe actie (MTTR-target: &lt;4 uur).</w:t>
      </w:r>
    </w:p>
    <w:p>
      <w:pPr>
        <w:pStyle w:val="Heading2"/>
      </w:pPr>
      <w:r>
        <w:rPr>
          <w:rFonts w:ascii="Calibri" w:hAnsi="Calibri"/>
          <w:color w:val="003366"/>
        </w:rPr>
        <w:t>Stap 3: LOTO/CoW voorbereiding</w:t>
      </w:r>
    </w:p>
    <w:p>
      <w:r>
        <w:rPr>
          <w:rFonts w:ascii="Calibri" w:hAnsi="Calibri"/>
          <w:b w:val="0"/>
          <w:color w:val="1F2937"/>
          <w:sz w:val="22"/>
        </w:rPr>
        <w:t>Voordat onderhoud start wordt een werkvergunning (CoW, Doc #01) aangevraagd. LOTO (Lock-Out/Tag-Out) wordt toegepast op alle energiebronnen. Een TRA (Task Risk Assessment) wordt uitgevoerd voor de specifieke werkzaamheden.</w:t>
      </w:r>
    </w:p>
    <w:p>
      <w:pPr>
        <w:pStyle w:val="Heading2"/>
      </w:pPr>
      <w:r>
        <w:rPr>
          <w:rFonts w:ascii="Calibri" w:hAnsi="Calibri"/>
          <w:color w:val="003366"/>
        </w:rPr>
        <w:t>Stap 4: Onderhoud uitvoeren</w:t>
      </w:r>
    </w:p>
    <w:p>
      <w:r>
        <w:rPr>
          <w:rFonts w:ascii="Calibri" w:hAnsi="Calibri"/>
          <w:b w:val="0"/>
          <w:color w:val="1F2937"/>
          <w:sz w:val="22"/>
        </w:rPr>
        <w:t>De onderhoudstechnicus voert de reparatie of vervanging uit conform de werkomschrijving op de werkvergunning. Afwijkingen worden direct gemeld. PBM-gebruik is verplicht volgens de PBM-matrix voor de betreffende werkzaamheden.</w:t>
      </w:r>
    </w:p>
    <w:p>
      <w:pPr>
        <w:pStyle w:val="Heading2"/>
      </w:pPr>
      <w:r>
        <w:rPr>
          <w:rFonts w:ascii="Calibri" w:hAnsi="Calibri"/>
          <w:color w:val="003366"/>
        </w:rPr>
        <w:t>Stap 5: Test en keuring</w:t>
      </w:r>
    </w:p>
    <w:p>
      <w:r>
        <w:rPr>
          <w:rFonts w:ascii="Calibri" w:hAnsi="Calibri"/>
          <w:b w:val="0"/>
          <w:color w:val="1F2937"/>
          <w:sz w:val="22"/>
        </w:rPr>
        <w:t>Na voltooiing van het onderhoud wordt de installatie getest. Dit omvat:</w:t>
        <w:br/>
        <w:t>• Functionele test van het gerepareerde onderdeel</w:t>
        <w:br/>
        <w:t>• Lektest (indien van toepassing)</w:t>
        <w:br/>
        <w:t>• Kalibratieverificatie (indien instrumentatie)</w:t>
        <w:br/>
        <w:t>• Visuele inspectie op volledigheid en netheid</w:t>
      </w:r>
    </w:p>
    <w:p>
      <w:pPr>
        <w:pStyle w:val="Heading2"/>
      </w:pPr>
      <w:r>
        <w:rPr>
          <w:rFonts w:ascii="Calibri" w:hAnsi="Calibri"/>
          <w:color w:val="003366"/>
        </w:rPr>
        <w:t>Stap 6: PSSR (indien ingrijpend)</w:t>
      </w:r>
    </w:p>
    <w:p>
      <w:r>
        <w:rPr>
          <w:rFonts w:ascii="Calibri" w:hAnsi="Calibri"/>
          <w:b w:val="0"/>
          <w:color w:val="1F2937"/>
          <w:sz w:val="22"/>
        </w:rPr>
        <w:t>Bij ingrijpend onderhoud (wijziging aan veiligheidskritische systemen, modificaties aan procesinstallatie) wordt een Pre-Startup Safety Review (PSSR) uitgevoerd conform Doc #08 (HSE-F-0000). De PSSR-bevindingen worden gedocumenteerd en de installatie wordt pas vrijgegeven na goedkeuring.</w:t>
      </w:r>
    </w:p>
    <w:p>
      <w:pPr>
        <w:pStyle w:val="Heading2"/>
      </w:pPr>
      <w:r>
        <w:rPr>
          <w:rFonts w:ascii="Calibri" w:hAnsi="Calibri"/>
          <w:color w:val="003366"/>
        </w:rPr>
        <w:t>Stap 7: Documentatie en close-out</w:t>
      </w:r>
    </w:p>
    <w:p>
      <w:r>
        <w:rPr>
          <w:rFonts w:ascii="Calibri" w:hAnsi="Calibri"/>
          <w:b w:val="0"/>
          <w:color w:val="1F2937"/>
          <w:sz w:val="22"/>
        </w:rPr>
        <w:t>Alle onderhoudswerkzaamheden worden vastgelegd in het CMMS inclusief:</w:t>
        <w:br/>
        <w:t>• Werkvergunning (getekend en gesloten)</w:t>
        <w:br/>
        <w:t>• LOTO-verwijderingsformulier</w:t>
        <w:br/>
        <w:t>• Gebruikte materialen en reserveonderdelen</w:t>
        <w:br/>
        <w:t>• Testresultaten en keuringsrapporten</w:t>
        <w:br/>
        <w:t>• Tijdsbesteding en kosten</w:t>
        <w:br/>
        <w:t>• Preventieve aanbevelingen ter voorkoming van herhaling</w:t>
      </w:r>
    </w:p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8. Inspectie- en Keuringsprogramma</w:t>
      </w:r>
    </w:p>
    <w:p>
      <w:r>
        <w:rPr>
          <w:rFonts w:ascii="Calibri" w:hAnsi="Calibri"/>
          <w:b w:val="0"/>
          <w:color w:val="1F2937"/>
          <w:sz w:val="22"/>
        </w:rPr>
        <w:t>Naast het reguliere onderhoudsprogramma kent Phoenix Metals een periodiek inspectie- en keuringsprogramma voor specifieke installatiecategorieën. Dit programma voldoet aan de eisen van het Besluit Drukapparatuur, NEN 1010, ATEX-richtlijnen en NTA 8620 [4][6].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Inspectietype</w:t>
            </w:r>
          </w:p>
        </w:tc>
        <w:tc>
          <w:tcPr>
            <w:tcW w:type="dxa" w:w="2351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Norm / Wettelijke basis</w:t>
            </w:r>
          </w:p>
        </w:tc>
        <w:tc>
          <w:tcPr>
            <w:tcW w:type="dxa" w:w="2351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Frequentie</w:t>
            </w:r>
          </w:p>
        </w:tc>
        <w:tc>
          <w:tcPr>
            <w:tcW w:type="dxa" w:w="2351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Verantwoordelijke</w:t>
            </w:r>
          </w:p>
        </w:tc>
      </w:tr>
      <w:tr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Drukvaat inspectie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Besluit Drukapparatuur, NEN-EN 13445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Periodiek (per classificatie)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Gekeurd inspectiebedrijf</w:t>
            </w:r>
          </w:p>
        </w:tc>
      </w:tr>
      <w:tr>
        <w:tc>
          <w:tcPr>
            <w:tcW w:type="dxa" w:w="2351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Elektrische installatie</w:t>
            </w:r>
          </w:p>
        </w:tc>
        <w:tc>
          <w:tcPr>
            <w:tcW w:type="dxa" w:w="2351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NEN 1010 / NEN-EN 60204</w:t>
            </w:r>
          </w:p>
        </w:tc>
        <w:tc>
          <w:tcPr>
            <w:tcW w:type="dxa" w:w="2351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5-jaarlijks + bij modificatie</w:t>
            </w:r>
          </w:p>
        </w:tc>
        <w:tc>
          <w:tcPr>
            <w:tcW w:type="dxa" w:w="2351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Elektra-inspectiebedrijf</w:t>
            </w:r>
          </w:p>
        </w:tc>
      </w:tr>
      <w:tr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ATEX apparatuur keuring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ATEX 137/114, NEN-EN 60079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Jaarlijks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Ex-gecertificeerd inspecteur</w:t>
            </w:r>
          </w:p>
        </w:tc>
      </w:tr>
      <w:tr>
        <w:tc>
          <w:tcPr>
            <w:tcW w:type="dxa" w:w="2351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Hijs- en hefmiddelen</w:t>
            </w:r>
          </w:p>
        </w:tc>
        <w:tc>
          <w:tcPr>
            <w:tcW w:type="dxa" w:w="2351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NEN-EN 17206</w:t>
            </w:r>
          </w:p>
        </w:tc>
        <w:tc>
          <w:tcPr>
            <w:tcW w:type="dxa" w:w="2351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Jaarlijks + per gebruik</w:t>
            </w:r>
          </w:p>
        </w:tc>
        <w:tc>
          <w:tcPr>
            <w:tcW w:type="dxa" w:w="2351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Hijsinspecteur</w:t>
            </w:r>
          </w:p>
        </w:tc>
      </w:tr>
      <w:tr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Branddetectie/-blussystemen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NEN 2535 / NEN-EN 54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Jaarlijks + kwartaal test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Brandbeveiligingsbedrijf</w:t>
            </w:r>
          </w:p>
        </w:tc>
      </w:tr>
    </w:tbl>
    <w:p>
      <w:pPr>
        <w:pStyle w:val="Heading1"/>
      </w:pPr>
      <w:r>
        <w:rPr>
          <w:rFonts w:ascii="Calibri" w:hAnsi="Calibri"/>
          <w:color w:val="003366"/>
        </w:rPr>
        <w:t>9. Reserveonderdelen Management</w:t>
      </w:r>
    </w:p>
    <w:p>
      <w:r>
        <w:rPr>
          <w:rFonts w:ascii="Calibri" w:hAnsi="Calibri"/>
          <w:b w:val="0"/>
          <w:color w:val="1F2937"/>
          <w:sz w:val="22"/>
        </w:rPr>
        <w:t>Een adequaat reserveonderdelenbeleid is essentieel om MTTR te minimaliseren en beschikbaarheid te garanderen. Phoenix Metals hanteert een min/max-voorraadsysteem voor alle kritieke onderdelen.</w:t>
      </w:r>
    </w:p>
    <w:p>
      <w:pPr>
        <w:pStyle w:val="Heading2"/>
      </w:pPr>
      <w:r>
        <w:rPr>
          <w:rFonts w:ascii="Calibri" w:hAnsi="Calibri"/>
          <w:color w:val="003366"/>
        </w:rPr>
        <w:t>9.1 Voorraadbeleid</w:t>
      </w:r>
    </w:p>
    <w:p>
      <w:pPr>
        <w:pStyle w:val="ListBullet"/>
      </w:pPr>
      <w:r>
        <w:t>Kritieke onderdelen (FM-05, FM-15, FM-16, FM-20): altijd minimaal 1 reserve op voorraad</w:t>
      </w:r>
    </w:p>
    <w:p>
      <w:pPr>
        <w:pStyle w:val="ListBullet"/>
      </w:pPr>
      <w:r>
        <w:t>Standaard onderdelen (seals, pakkingen, filters): min/max gebaseerd op historisch verbruik</w:t>
      </w:r>
    </w:p>
    <w:p>
      <w:pPr>
        <w:pStyle w:val="ListBullet"/>
      </w:pPr>
      <w:r>
        <w:t>Langdoorlooptijd-onderdelen (specifieke pompen, instrumentatie): veiligheidsvoorraad = 2x normale min</w:t>
      </w:r>
    </w:p>
    <w:p>
      <w:pPr>
        <w:pStyle w:val="ListBullet"/>
      </w:pPr>
      <w:r>
        <w:t>Leveranciersovereenkomsten (SLA): kritieke onderdelen binnen 24 uur leverbaar</w:t>
      </w:r>
    </w:p>
    <w:p>
      <w:pPr>
        <w:pStyle w:val="Heading2"/>
      </w:pPr>
      <w:r>
        <w:rPr>
          <w:rFonts w:ascii="Calibri" w:hAnsi="Calibri"/>
          <w:color w:val="003366"/>
        </w:rPr>
        <w:t>9.2 Kritieke Reserveonderdelen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Onderdeel</w:t>
            </w:r>
          </w:p>
        </w:tc>
        <w:tc>
          <w:tcPr>
            <w:tcW w:type="dxa" w:w="2351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Minimum voorraad</w:t>
            </w:r>
          </w:p>
        </w:tc>
        <w:tc>
          <w:tcPr>
            <w:tcW w:type="dxa" w:w="2351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Maximum voorraad</w:t>
            </w:r>
          </w:p>
        </w:tc>
        <w:tc>
          <w:tcPr>
            <w:tcW w:type="dxa" w:w="2351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Leverancier / SLA</w:t>
            </w:r>
          </w:p>
        </w:tc>
      </w:tr>
      <w:tr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Reactor seal-kit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2 stuks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5 stuks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Flowserve / 24u</w:t>
            </w:r>
          </w:p>
        </w:tc>
      </w:tr>
      <w:tr>
        <w:tc>
          <w:tcPr>
            <w:tcW w:type="dxa" w:w="2351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Filter elementen (alle types)</w:t>
            </w:r>
          </w:p>
        </w:tc>
        <w:tc>
          <w:tcPr>
            <w:tcW w:type="dxa" w:w="2351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10 stuks per type</w:t>
            </w:r>
          </w:p>
        </w:tc>
        <w:tc>
          <w:tcPr>
            <w:tcW w:type="dxa" w:w="2351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30 stuks per type</w:t>
            </w:r>
          </w:p>
        </w:tc>
        <w:tc>
          <w:tcPr>
            <w:tcW w:type="dxa" w:w="2351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Pall Corporation / 48u</w:t>
            </w:r>
          </w:p>
        </w:tc>
      </w:tr>
      <w:tr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Pomp-onderdelen (mechanical seal)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1 per pomptype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3 per pomptype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Grundfos / 48u</w:t>
            </w:r>
          </w:p>
        </w:tc>
      </w:tr>
      <w:tr>
        <w:tc>
          <w:tcPr>
            <w:tcW w:type="dxa" w:w="2351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Temperatuursensoren (Pt100)</w:t>
            </w:r>
          </w:p>
        </w:tc>
        <w:tc>
          <w:tcPr>
            <w:tcW w:type="dxa" w:w="2351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3 stuks</w:t>
            </w:r>
          </w:p>
        </w:tc>
        <w:tc>
          <w:tcPr>
            <w:tcW w:type="dxa" w:w="2351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8 stuks</w:t>
            </w:r>
          </w:p>
        </w:tc>
        <w:tc>
          <w:tcPr>
            <w:tcW w:type="dxa" w:w="2351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Endress+Hauser / 24u</w:t>
            </w:r>
          </w:p>
        </w:tc>
      </w:tr>
      <w:tr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ATEX-klemmen en connectors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5 stuks per type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15 stuks per type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Pepperl+Fuchs / 72u</w:t>
            </w:r>
          </w:p>
        </w:tc>
      </w:tr>
      <w:tr>
        <w:tc>
          <w:tcPr>
            <w:tcW w:type="dxa" w:w="2351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Big-bag vulklep-seals</w:t>
            </w:r>
          </w:p>
        </w:tc>
        <w:tc>
          <w:tcPr>
            <w:tcW w:type="dxa" w:w="2351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4 stuks</w:t>
            </w:r>
          </w:p>
        </w:tc>
        <w:tc>
          <w:tcPr>
            <w:tcW w:type="dxa" w:w="2351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10 stuks</w:t>
            </w:r>
          </w:p>
        </w:tc>
        <w:tc>
          <w:tcPr>
            <w:tcW w:type="dxa" w:w="2351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Custom supplier / 48u</w:t>
            </w:r>
          </w:p>
        </w:tc>
      </w:tr>
      <w:tr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Kalibratiegas cylinders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2 flessen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4 flessen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Linde Gas / 48u</w:t>
            </w:r>
          </w:p>
        </w:tc>
      </w:tr>
    </w:tbl>
    <w:p>
      <w:pPr>
        <w:pStyle w:val="Heading1"/>
      </w:pPr>
      <w:r>
        <w:rPr>
          <w:rFonts w:ascii="Calibri" w:hAnsi="Calibri"/>
          <w:color w:val="003366"/>
        </w:rPr>
        <w:t>10. Koppeling met Control of Work (Doc #01)</w:t>
      </w:r>
    </w:p>
    <w:p>
      <w:r>
        <w:rPr>
          <w:rFonts w:ascii="Calibri" w:hAnsi="Calibri"/>
          <w:b w:val="0"/>
          <w:color w:val="1F2937"/>
          <w:sz w:val="22"/>
        </w:rPr>
        <w:t>Alle onderhoudswerkzaamheden vereisen een geldige werkvergunning conform het Control of Work (CoW) systeem (PE-290-01). Dit geldt voor zowel preventief als correctief onderhoud. De werkvergunning waarborgt dat:</w:t>
      </w:r>
    </w:p>
    <w:p>
      <w:pPr>
        <w:pStyle w:val="ListBullet"/>
      </w:pPr>
      <w:r>
        <w:t>De werkplek veilig is gemaakt (LOTO, isolatie, reiniging)</w:t>
      </w:r>
    </w:p>
    <w:p>
      <w:pPr>
        <w:pStyle w:val="ListBullet"/>
      </w:pPr>
      <w:r>
        <w:t>Een TRA is uitgevoerd voor de specifieke werkzaamheden</w:t>
      </w:r>
    </w:p>
    <w:p>
      <w:pPr>
        <w:pStyle w:val="ListBullet"/>
      </w:pPr>
      <w:r>
        <w:t>De juiste PBM's zijn geselecteerd en beschikbaar</w:t>
      </w:r>
    </w:p>
    <w:p>
      <w:pPr>
        <w:pStyle w:val="ListBullet"/>
      </w:pPr>
      <w:r>
        <w:t>Communicatie met de procesoperator is gewaarborgd</w:t>
      </w:r>
    </w:p>
    <w:p>
      <w:pPr>
        <w:pStyle w:val="ListBullet"/>
      </w:pPr>
      <w:r>
        <w:t>Noodprocedures bekend zijn bij alle betrokkenen</w:t>
      </w:r>
    </w:p>
    <w:p>
      <w:pPr>
        <w:pStyle w:val="ListBullet"/>
      </w:pPr>
      <w:r>
        <w:t>Het werk wordt geïnspecteerd door de Area Owner</w:t>
      </w:r>
    </w:p>
    <w:p>
      <w:r>
        <w:rPr>
          <w:rFonts w:ascii="Calibri" w:hAnsi="Calibri"/>
          <w:b w:val="0"/>
          <w:color w:val="1F2937"/>
          <w:sz w:val="22"/>
        </w:rPr>
        <w:t>Uitzondering: routinematige visuele inspecties door operators tijdens ronde vereisen geen aparte werkvergunning, mits deze zijn gedocumenteerd in het operator-rondeschema en geen fysiek ingrijpen vereisen.</w:t>
      </w:r>
    </w:p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11. Bronnenlijst</w:t>
      </w:r>
    </w:p>
    <w:p>
      <w:r>
        <w:rPr>
          <w:rFonts w:ascii="Calibri" w:hAnsi="Calibri"/>
          <w:b w:val="0"/>
          <w:color w:val="1F2937"/>
          <w:sz w:val="22"/>
        </w:rPr>
        <w:t>[1] PS-510 — Preventief Onderhoud, Phoenix Metals procedures</w:t>
      </w:r>
    </w:p>
    <w:p>
      <w:r>
        <w:rPr>
          <w:rFonts w:ascii="Calibri" w:hAnsi="Calibri"/>
          <w:b w:val="0"/>
          <w:color w:val="1F2937"/>
          <w:sz w:val="22"/>
        </w:rPr>
        <w:t>[2] PS-520 — Correctief Onderhoud, Phoenix Metals procedures</w:t>
      </w:r>
    </w:p>
    <w:p>
      <w:r>
        <w:rPr>
          <w:rFonts w:ascii="Calibri" w:hAnsi="Calibri"/>
          <w:b w:val="0"/>
          <w:color w:val="1F2937"/>
          <w:sz w:val="22"/>
        </w:rPr>
        <w:t>[3] Element 2, Document #04 — FMECA Kritieke Onderdelen Analyse, VBS Phoenix Metals</w:t>
      </w:r>
    </w:p>
    <w:p>
      <w:r>
        <w:rPr>
          <w:rFonts w:ascii="Calibri" w:hAnsi="Calibri"/>
          <w:b w:val="0"/>
          <w:color w:val="1F2937"/>
          <w:sz w:val="22"/>
        </w:rPr>
        <w:t>[4] BRZO 2015 (Besluit risico's zware ongevallen), Art. 7 — Element IV: Controle op de Exploitatie</w:t>
      </w:r>
    </w:p>
    <w:p>
      <w:r>
        <w:rPr>
          <w:rFonts w:ascii="Calibri" w:hAnsi="Calibri"/>
          <w:b w:val="0"/>
          <w:color w:val="1F2937"/>
          <w:sz w:val="22"/>
        </w:rPr>
        <w:t>[5] NEN-EN 13306 — Maintenance — Maintenance terminology</w:t>
      </w:r>
    </w:p>
    <w:p>
      <w:r>
        <w:rPr>
          <w:rFonts w:ascii="Calibri" w:hAnsi="Calibri"/>
          <w:b w:val="0"/>
          <w:color w:val="1F2937"/>
          <w:sz w:val="22"/>
        </w:rPr>
        <w:t>[6] Meta-Dossier VBS Element 3, versie 1.0, 2026-04-29 — Kas (Director of Operations)</w:t>
      </w:r>
    </w:p>
    <w:p>
      <w:pPr>
        <w:pStyle w:val="Heading1"/>
      </w:pPr>
      <w:r>
        <w:rPr>
          <w:rFonts w:ascii="Calibri" w:hAnsi="Calibri"/>
          <w:color w:val="003366"/>
        </w:rPr>
        <w:t>12. TierVerify Log</w:t>
      </w:r>
    </w:p>
    <w:p>
      <w:r>
        <w:rPr>
          <w:rFonts w:ascii="Calibri" w:hAnsi="Calibri"/>
          <w:b w:val="0"/>
          <w:color w:val="1F2937"/>
          <w:sz w:val="22"/>
        </w:rPr>
        <w:t>Onderstaande log documenteert de verificatie van de kwaliteit en juistheid van dit document.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Check</w:t>
            </w:r>
          </w:p>
        </w:tc>
        <w:tc>
          <w:tcPr>
            <w:tcW w:type="dxa" w:w="2351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Beschrijving</w:t>
            </w:r>
          </w:p>
        </w:tc>
        <w:tc>
          <w:tcPr>
            <w:tcW w:type="dxa" w:w="2351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Bron</w:t>
            </w:r>
          </w:p>
        </w:tc>
        <w:tc>
          <w:tcPr>
            <w:tcW w:type="dxa" w:w="2351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Status</w:t>
            </w:r>
          </w:p>
        </w:tc>
      </w:tr>
      <w:tr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V1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Documentheader aanwezig conform §2.1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MASTER_STYLEGUIDE §2.1</w:t>
            </w:r>
          </w:p>
        </w:tc>
        <w:tc>
          <w:tcPr>
            <w:tcW w:type="dxa" w:w="2351"/>
          </w:tcPr>
          <w:p>
            <w:pPr>
              <w:jc w:val="left"/>
            </w:pPr>
            <w:r>
              <w:rPr>
                <w:b/>
                <w:color w:val="00A859"/>
              </w:rPr>
            </w:r>
            <w:r>
              <w:rPr>
                <w:rFonts w:ascii="Calibri" w:hAnsi="Calibri"/>
                <w:b/>
                <w:color w:val="00A859"/>
                <w:sz w:val="18"/>
              </w:rPr>
              <w:t>✅ Pass</w:t>
            </w:r>
          </w:p>
        </w:tc>
      </w:tr>
      <w:tr>
        <w:tc>
          <w:tcPr>
            <w:tcW w:type="dxa" w:w="2351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V2</w:t>
            </w:r>
          </w:p>
        </w:tc>
        <w:tc>
          <w:tcPr>
            <w:tcW w:type="dxa" w:w="2351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Bronverwijzingen [1]-[6] in tekst en bronnenlijst</w:t>
            </w:r>
          </w:p>
        </w:tc>
        <w:tc>
          <w:tcPr>
            <w:tcW w:type="dxa" w:w="2351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MASTER_STYLEGUIDE §1.8</w:t>
            </w:r>
          </w:p>
        </w:tc>
        <w:tc>
          <w:tcPr>
            <w:tcW w:type="dxa" w:w="2351"/>
            <w:shd w:fill="F8F9FA"/>
          </w:tcPr>
          <w:p>
            <w:pPr>
              <w:jc w:val="left"/>
            </w:pPr>
            <w:r>
              <w:rPr>
                <w:b/>
                <w:color w:val="00A859"/>
              </w:rPr>
            </w:r>
            <w:r>
              <w:rPr>
                <w:rFonts w:ascii="Calibri" w:hAnsi="Calibri"/>
                <w:b/>
                <w:color w:val="00A859"/>
                <w:sz w:val="18"/>
              </w:rPr>
              <w:t>✅ Pass</w:t>
            </w:r>
          </w:p>
        </w:tc>
      </w:tr>
      <w:tr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V3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FMECA-koppeling (FM-ID's) geverifieerd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Element 2 Doc #04</w:t>
            </w:r>
          </w:p>
        </w:tc>
        <w:tc>
          <w:tcPr>
            <w:tcW w:type="dxa" w:w="2351"/>
          </w:tcPr>
          <w:p>
            <w:pPr>
              <w:jc w:val="left"/>
            </w:pPr>
            <w:r>
              <w:rPr>
                <w:b/>
                <w:color w:val="00A859"/>
              </w:rPr>
            </w:r>
            <w:r>
              <w:rPr>
                <w:rFonts w:ascii="Calibri" w:hAnsi="Calibri"/>
                <w:b/>
                <w:color w:val="00A859"/>
                <w:sz w:val="18"/>
              </w:rPr>
              <w:t>✅ Pass</w:t>
            </w:r>
          </w:p>
        </w:tc>
      </w:tr>
      <w:tr>
        <w:tc>
          <w:tcPr>
            <w:tcW w:type="dxa" w:w="2351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V4</w:t>
            </w:r>
          </w:p>
        </w:tc>
        <w:tc>
          <w:tcPr>
            <w:tcW w:type="dxa" w:w="2351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Wettelijk kader BRZO 2015 Art. 7 gedekt</w:t>
            </w:r>
          </w:p>
        </w:tc>
        <w:tc>
          <w:tcPr>
            <w:tcW w:type="dxa" w:w="2351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Meta-Dossier §2, §6</w:t>
            </w:r>
          </w:p>
        </w:tc>
        <w:tc>
          <w:tcPr>
            <w:tcW w:type="dxa" w:w="2351"/>
            <w:shd w:fill="F8F9FA"/>
          </w:tcPr>
          <w:p>
            <w:pPr>
              <w:jc w:val="left"/>
            </w:pPr>
            <w:r>
              <w:rPr>
                <w:b/>
                <w:color w:val="00A859"/>
              </w:rPr>
            </w:r>
            <w:r>
              <w:rPr>
                <w:rFonts w:ascii="Calibri" w:hAnsi="Calibri"/>
                <w:b/>
                <w:color w:val="00A859"/>
                <w:sz w:val="18"/>
              </w:rPr>
              <w:t>✅ Pass</w:t>
            </w:r>
          </w:p>
        </w:tc>
      </w:tr>
      <w:tr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V5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Minimaal 15 onderhoudsactiviteiten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Opdrachtspecificatie</w:t>
            </w:r>
          </w:p>
        </w:tc>
        <w:tc>
          <w:tcPr>
            <w:tcW w:type="dxa" w:w="2351"/>
          </w:tcPr>
          <w:p>
            <w:pPr>
              <w:jc w:val="left"/>
            </w:pPr>
            <w:r>
              <w:rPr>
                <w:b/>
                <w:color w:val="00A859"/>
              </w:rPr>
            </w:r>
            <w:r>
              <w:rPr>
                <w:rFonts w:ascii="Calibri" w:hAnsi="Calibri"/>
                <w:b/>
                <w:color w:val="00A859"/>
                <w:sz w:val="18"/>
              </w:rPr>
              <w:t>✅ Pass (15)</w:t>
            </w:r>
          </w:p>
        </w:tc>
      </w:tr>
      <w:tr>
        <w:tc>
          <w:tcPr>
            <w:tcW w:type="dxa" w:w="2351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V6</w:t>
            </w:r>
          </w:p>
        </w:tc>
        <w:tc>
          <w:tcPr>
            <w:tcW w:type="dxa" w:w="2351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CoW-koppeling en LOTO-vereisten gedocumenteerd</w:t>
            </w:r>
          </w:p>
        </w:tc>
        <w:tc>
          <w:tcPr>
            <w:tcW w:type="dxa" w:w="2351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PE-290-01, Meta-Dossier §4.1</w:t>
            </w:r>
          </w:p>
        </w:tc>
        <w:tc>
          <w:tcPr>
            <w:tcW w:type="dxa" w:w="2351"/>
            <w:shd w:fill="F8F9FA"/>
          </w:tcPr>
          <w:p>
            <w:pPr>
              <w:jc w:val="left"/>
            </w:pPr>
            <w:r>
              <w:rPr>
                <w:b/>
                <w:color w:val="00A859"/>
              </w:rPr>
            </w:r>
            <w:r>
              <w:rPr>
                <w:rFonts w:ascii="Calibri" w:hAnsi="Calibri"/>
                <w:b/>
                <w:color w:val="00A859"/>
                <w:sz w:val="18"/>
              </w:rPr>
              <w:t>✅ Pass</w:t>
            </w:r>
          </w:p>
        </w:tc>
      </w:tr>
    </w:tbl>
    <w:p>
      <w:r>
        <w:rPr>
          <w:rFonts w:ascii="Calibri" w:hAnsi="Calibri"/>
          <w:b w:val="0"/>
          <w:color w:val="1F2937"/>
          <w:sz w:val="22"/>
        </w:rPr>
      </w:r>
    </w:p>
    <w:p>
      <w:r>
        <w:rPr>
          <w:rFonts w:ascii="Calibri" w:hAnsi="Calibri"/>
          <w:b/>
          <w:color w:val="1F2937"/>
          <w:sz w:val="22"/>
        </w:rPr>
        <w:t>--- EINDE DOCUMENT ---</w:t>
      </w:r>
    </w:p>
    <w:sectPr w:rsidR="00FC693F" w:rsidRPr="0006063C" w:rsidSect="00034616">
      <w:footerReference w:type="default" r:id="rId10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Calibri" w:hAnsi="Calibri"/>
        <w:sz w:val="18"/>
        <w:color w:val="666666"/>
      </w:rPr>
      <w:t>JvG Consultancy | Safety • Governance • Advisory | ©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color w:val="1F293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