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br/>
        <w:br/>
        <w:br/>
      </w:r>
    </w:p>
    <w:p>
      <w:pPr>
        <w:jc w:val="center"/>
      </w:pPr>
      <w:r>
        <w:rPr>
          <w:rFonts w:ascii="Calibri" w:hAnsi="Calibri"/>
          <w:b/>
          <w:color w:val="003366"/>
          <w:sz w:val="56"/>
        </w:rPr>
        <w:t>PROCEDURE</w:t>
      </w:r>
    </w:p>
    <w:p>
      <w:pPr>
        <w:jc w:val="center"/>
      </w:pPr>
      <w:r>
        <w:rPr>
          <w:rFonts w:ascii="Calibri" w:hAnsi="Calibri"/>
          <w:b/>
          <w:color w:val="003366"/>
          <w:sz w:val="40"/>
        </w:rPr>
        <w:t>Aanvraag &amp; Goedkeuring Gevaarlijke Stoffen</w:t>
      </w:r>
    </w:p>
    <w:p>
      <w:pPr>
        <w:jc w:val="center"/>
      </w:pPr>
      <w:r>
        <w:rPr>
          <w:color w:val="374151"/>
          <w:sz w:val="28"/>
        </w:rPr>
        <w:t>VBS Element 3 — Document #3</w:t>
      </w:r>
    </w:p>
    <w:p>
      <w:pPr>
        <w:jc w:val="center"/>
      </w:pPr>
      <w:r>
        <w:rPr>
          <w:color w:val="374151"/>
          <w:sz w:val="24"/>
        </w:rPr>
        <w:br/>
        <w:t>Phoenix Metals — Vanadiumproductie uit Staalslakken</w:t>
      </w:r>
    </w:p>
    <w:p>
      <w:pPr>
        <w:jc w:val="center"/>
      </w:pPr>
      <w:r>
        <w:rPr>
          <w:sz w:val="22"/>
        </w:rPr>
        <w:t>Procedurescode: PE-240-01</w:t>
        <w:br/>
        <w:br/>
      </w:r>
    </w:p>
    <w:tbl>
      <w:tblPr>
        <w:tblW w:type="auto" w:w="0"/>
        <w:jc w:val="center"/>
        <w:tblLook w:firstColumn="1" w:firstRow="1" w:lastColumn="0" w:lastRow="0" w:noHBand="0" w:noVBand="1" w:val="04A0"/>
      </w:tblPr>
      <w:tblGrid>
        <w:gridCol w:w="4703"/>
        <w:gridCol w:w="4703"/>
      </w:tblGrid>
      <w:tr>
        <w:tc>
          <w:tcPr>
            <w:tcW w:type="dxa" w:w="4703"/>
          </w:tcPr>
          <w:p>
            <w:r>
              <w:rPr>
                <w:rFonts w:ascii="Calibri" w:hAnsi="Calibri"/>
                <w:b/>
                <w:sz w:val="22"/>
              </w:rPr>
              <w:t>Project</w:t>
            </w:r>
          </w:p>
        </w:tc>
        <w:tc>
          <w:tcPr>
            <w:tcW w:type="dxa" w:w="4703"/>
          </w:tcPr>
          <w:p>
            <w:r>
              <w:rPr>
                <w:rFonts w:ascii="Calibri" w:hAnsi="Calibri"/>
                <w:sz w:val="22"/>
              </w:rPr>
              <w:t>2026-PM-VBS-Element3</w:t>
            </w:r>
          </w:p>
        </w:tc>
      </w:tr>
      <w:tr>
        <w:tc>
          <w:tcPr>
            <w:tcW w:type="dxa" w:w="4703"/>
          </w:tcPr>
          <w:p>
            <w:r>
              <w:rPr>
                <w:rFonts w:ascii="Calibri" w:hAnsi="Calibri"/>
                <w:b/>
                <w:sz w:val="22"/>
              </w:rPr>
              <w:t>Type</w:t>
            </w:r>
          </w:p>
        </w:tc>
        <w:tc>
          <w:tcPr>
            <w:tcW w:type="dxa" w:w="4703"/>
          </w:tcPr>
          <w:p>
            <w:r>
              <w:rPr>
                <w:rFonts w:ascii="Calibri" w:hAnsi="Calibri"/>
                <w:sz w:val="22"/>
              </w:rPr>
              <w:t>Procedure</w:t>
            </w:r>
          </w:p>
        </w:tc>
      </w:tr>
      <w:tr>
        <w:tc>
          <w:tcPr>
            <w:tcW w:type="dxa" w:w="4703"/>
          </w:tcPr>
          <w:p>
            <w:r>
              <w:rPr>
                <w:rFonts w:ascii="Calibri" w:hAnsi="Calibri"/>
                <w:b/>
                <w:sz w:val="22"/>
              </w:rPr>
              <w:t>Auteur</w:t>
            </w:r>
          </w:p>
        </w:tc>
        <w:tc>
          <w:tcPr>
            <w:tcW w:type="dxa" w:w="4703"/>
          </w:tcPr>
          <w:p>
            <w:r>
              <w:rPr>
                <w:rFonts w:ascii="Calibri" w:hAnsi="Calibri"/>
                <w:sz w:val="22"/>
              </w:rPr>
              <w:t>HQ_04 Technical Writer</w:t>
            </w:r>
          </w:p>
        </w:tc>
      </w:tr>
      <w:tr>
        <w:tc>
          <w:tcPr>
            <w:tcW w:type="dxa" w:w="4703"/>
          </w:tcPr>
          <w:p>
            <w:r>
              <w:rPr>
                <w:rFonts w:ascii="Calibri" w:hAnsi="Calibri"/>
                <w:b/>
                <w:sz w:val="22"/>
              </w:rPr>
              <w:t>Versie</w:t>
            </w:r>
          </w:p>
        </w:tc>
        <w:tc>
          <w:tcPr>
            <w:tcW w:type="dxa" w:w="4703"/>
          </w:tcPr>
          <w:p>
            <w:r>
              <w:rPr>
                <w:rFonts w:ascii="Calibri" w:hAnsi="Calibri"/>
                <w:sz w:val="22"/>
              </w:rPr>
              <w:t>1.0</w:t>
            </w:r>
          </w:p>
        </w:tc>
      </w:tr>
      <w:tr>
        <w:tc>
          <w:tcPr>
            <w:tcW w:type="dxa" w:w="4703"/>
          </w:tcPr>
          <w:p>
            <w:r>
              <w:rPr>
                <w:rFonts w:ascii="Calibri" w:hAnsi="Calibri"/>
                <w:b/>
                <w:sz w:val="22"/>
              </w:rPr>
              <w:t>Datum</w:t>
            </w:r>
          </w:p>
        </w:tc>
        <w:tc>
          <w:tcPr>
            <w:tcW w:type="dxa" w:w="4703"/>
          </w:tcPr>
          <w:p>
            <w:r>
              <w:rPr>
                <w:rFonts w:ascii="Calibri" w:hAnsi="Calibri"/>
                <w:sz w:val="22"/>
              </w:rPr>
              <w:t>2026-04-29</w:t>
            </w:r>
          </w:p>
        </w:tc>
      </w:tr>
      <w:tr>
        <w:tc>
          <w:tcPr>
            <w:tcW w:type="dxa" w:w="4703"/>
          </w:tcPr>
          <w:p>
            <w:r>
              <w:rPr>
                <w:rFonts w:ascii="Calibri" w:hAnsi="Calibri"/>
                <w:b/>
                <w:sz w:val="22"/>
              </w:rPr>
              <w:t>Status</w:t>
            </w:r>
          </w:p>
        </w:tc>
        <w:tc>
          <w:tcPr>
            <w:tcW w:type="dxa" w:w="4703"/>
          </w:tcPr>
          <w:p>
            <w:r>
              <w:rPr>
                <w:rFonts w:ascii="Calibri" w:hAnsi="Calibri"/>
                <w:sz w:val="22"/>
              </w:rPr>
              <w:t>Final</w:t>
            </w:r>
          </w:p>
        </w:tc>
      </w:tr>
      <w:tr>
        <w:tc>
          <w:tcPr>
            <w:tcW w:type="dxa" w:w="4703"/>
          </w:tcPr>
          <w:p>
            <w:r>
              <w:rPr>
                <w:rFonts w:ascii="Calibri" w:hAnsi="Calibri"/>
                <w:b/>
                <w:sz w:val="22"/>
              </w:rPr>
              <w:t>Classificatie</w:t>
            </w:r>
          </w:p>
        </w:tc>
        <w:tc>
          <w:tcPr>
            <w:tcW w:type="dxa" w:w="4703"/>
          </w:tcPr>
          <w:p>
            <w:r>
              <w:rPr>
                <w:rFonts w:ascii="Calibri" w:hAnsi="Calibri"/>
                <w:sz w:val="22"/>
              </w:rPr>
              <w:t>Vertrouwelijk — Phoenix Metals</w:t>
            </w:r>
          </w:p>
        </w:tc>
      </w:tr>
    </w:tbl>
    <w:p>
      <w:r>
        <w:br w:type="page"/>
      </w:r>
    </w:p>
    <w:p>
      <w:pPr>
        <w:pStyle w:val="Heading1"/>
      </w:pPr>
      <w:r>
        <w:rPr>
          <w:color w:val="003366"/>
        </w:rPr>
        <w:t>1. Documentbeheersing</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Versie</w:t>
            </w:r>
          </w:p>
        </w:tc>
        <w:tc>
          <w:tcPr>
            <w:tcW w:type="dxa" w:w="1881"/>
          </w:tcPr>
          <w:p>
            <w:pPr>
              <w:jc w:val="center"/>
            </w:pPr>
            <w:r/>
            <w:r>
              <w:rPr>
                <w:b/>
                <w:color w:val="003366"/>
                <w:sz w:val="20"/>
              </w:rPr>
              <w:t>Datum</w:t>
            </w:r>
          </w:p>
        </w:tc>
        <w:tc>
          <w:tcPr>
            <w:tcW w:type="dxa" w:w="1881"/>
          </w:tcPr>
          <w:p>
            <w:pPr>
              <w:jc w:val="center"/>
            </w:pPr>
            <w:r/>
            <w:r>
              <w:rPr>
                <w:b/>
                <w:color w:val="003366"/>
                <w:sz w:val="20"/>
              </w:rPr>
              <w:t>Auteur</w:t>
            </w:r>
          </w:p>
        </w:tc>
        <w:tc>
          <w:tcPr>
            <w:tcW w:type="dxa" w:w="1881"/>
          </w:tcPr>
          <w:p>
            <w:pPr>
              <w:jc w:val="center"/>
            </w:pPr>
            <w:r/>
            <w:r>
              <w:rPr>
                <w:b/>
                <w:color w:val="003366"/>
                <w:sz w:val="20"/>
              </w:rPr>
              <w:t>Wijziging</w:t>
            </w:r>
          </w:p>
        </w:tc>
        <w:tc>
          <w:tcPr>
            <w:tcW w:type="dxa" w:w="1881"/>
          </w:tcPr>
          <w:p>
            <w:pPr>
              <w:jc w:val="center"/>
            </w:pPr>
            <w:r/>
            <w:r>
              <w:rPr>
                <w:b/>
                <w:color w:val="003366"/>
                <w:sz w:val="20"/>
              </w:rPr>
              <w:t>Goedgekeurd door</w:t>
            </w:r>
          </w:p>
        </w:tc>
      </w:tr>
      <w:tr>
        <w:tc>
          <w:tcPr>
            <w:tcW w:type="dxa" w:w="1881"/>
          </w:tcPr>
          <w:p>
            <w:r/>
            <w:r>
              <w:rPr>
                <w:sz w:val="20"/>
              </w:rPr>
              <w:t>0.1</w:t>
            </w:r>
          </w:p>
        </w:tc>
        <w:tc>
          <w:tcPr>
            <w:tcW w:type="dxa" w:w="1881"/>
          </w:tcPr>
          <w:p>
            <w:r/>
            <w:r>
              <w:rPr>
                <w:sz w:val="20"/>
              </w:rPr>
              <w:t>2026-04-25</w:t>
            </w:r>
          </w:p>
        </w:tc>
        <w:tc>
          <w:tcPr>
            <w:tcW w:type="dxa" w:w="1881"/>
          </w:tcPr>
          <w:p>
            <w:r/>
            <w:r>
              <w:rPr>
                <w:sz w:val="20"/>
              </w:rPr>
              <w:t>HQ_04</w:t>
            </w:r>
          </w:p>
        </w:tc>
        <w:tc>
          <w:tcPr>
            <w:tcW w:type="dxa" w:w="1881"/>
          </w:tcPr>
          <w:p>
            <w:r/>
            <w:r>
              <w:rPr>
                <w:sz w:val="20"/>
              </w:rPr>
              <w:t>Initieel concept</w:t>
            </w:r>
          </w:p>
        </w:tc>
        <w:tc>
          <w:tcPr>
            <w:tcW w:type="dxa" w:w="1881"/>
          </w:tcPr>
          <w:p>
            <w:r/>
            <w:r>
              <w:rPr>
                <w:sz w:val="20"/>
              </w:rPr>
              <w:t>—</w:t>
            </w:r>
          </w:p>
        </w:tc>
      </w:tr>
      <w:tr>
        <w:tc>
          <w:tcPr>
            <w:tcW w:type="dxa" w:w="1881"/>
          </w:tcPr>
          <w:p>
            <w:r/>
            <w:r>
              <w:rPr>
                <w:sz w:val="20"/>
              </w:rPr>
              <w:t>1.0</w:t>
            </w:r>
          </w:p>
        </w:tc>
        <w:tc>
          <w:tcPr>
            <w:tcW w:type="dxa" w:w="1881"/>
          </w:tcPr>
          <w:p>
            <w:r/>
            <w:r>
              <w:rPr>
                <w:sz w:val="20"/>
              </w:rPr>
              <w:t>2026-04-29</w:t>
            </w:r>
          </w:p>
        </w:tc>
        <w:tc>
          <w:tcPr>
            <w:tcW w:type="dxa" w:w="1881"/>
          </w:tcPr>
          <w:p>
            <w:r/>
            <w:r>
              <w:rPr>
                <w:sz w:val="20"/>
              </w:rPr>
              <w:t>HQ_04</w:t>
            </w:r>
          </w:p>
        </w:tc>
        <w:tc>
          <w:tcPr>
            <w:tcW w:type="dxa" w:w="1881"/>
          </w:tcPr>
          <w:p>
            <w:r/>
            <w:r>
              <w:rPr>
                <w:sz w:val="20"/>
              </w:rPr>
              <w:t>Final — VBS Element 3 release</w:t>
            </w:r>
          </w:p>
        </w:tc>
        <w:tc>
          <w:tcPr>
            <w:tcW w:type="dxa" w:w="1881"/>
          </w:tcPr>
          <w:p>
            <w:r/>
            <w:r>
              <w:rPr>
                <w:sz w:val="20"/>
              </w:rPr>
              <w:t>HSEQ Manager</w:t>
            </w:r>
          </w:p>
        </w:tc>
      </w:tr>
    </w:tbl>
    <w:p/>
    <w:p>
      <w:r>
        <w:rPr>
          <w:b/>
        </w:rPr>
        <w:t xml:space="preserve">Distributielijst: </w:t>
      </w:r>
      <w:r>
        <w:t>HSEQ Manager, Procurement Manager, Lab Manager, Operations Manager, Plant Manager, QHSE Directie.</w:t>
      </w:r>
    </w:p>
    <w:p>
      <w:r>
        <w:br w:type="page"/>
      </w:r>
    </w:p>
    <w:p>
      <w:pPr>
        <w:pStyle w:val="Heading1"/>
      </w:pPr>
      <w:r>
        <w:rPr>
          <w:color w:val="003366"/>
        </w:rPr>
        <w:t>2. Doel &amp; Scope</w:t>
      </w:r>
    </w:p>
    <w:p>
      <w:pPr>
        <w:pStyle w:val="Heading2"/>
      </w:pPr>
      <w:r>
        <w:rPr>
          <w:color w:val="003366"/>
        </w:rPr>
        <w:t>2.1 Doel</w:t>
      </w:r>
    </w:p>
    <w:p>
      <w:r>
        <w:t>Deze procedure definieert het proces voor aanvraag, beoordeling, goedkeuring en registratie van gevaarlijke stoffen bij Phoenix Metals. Het doel is om te waarborgen dat elke gevaarlijke stof vóór inkoop en gebruik systematisch wordt getoetst op veiligheids-, gezondheids- en milieuaspecten, conform BRZO 2015 en Seveso III-eisen [1][2].</w:t>
      </w:r>
    </w:p>
    <w:p>
      <w:pPr>
        <w:pStyle w:val="Heading2"/>
      </w:pPr>
      <w:r>
        <w:rPr>
          <w:color w:val="003366"/>
        </w:rPr>
        <w:t>2.2 Scope</w:t>
      </w:r>
    </w:p>
    <w:p>
      <w:r>
        <w:t>Deze procedure is van toepassing op alle gevaarlijke stoffen die worden aangevraagd, ingekocht, opgeslagen, verwerkt of afgevoerd door Phoenix Metals, op alle locaties inclusief de productiefaciliteit te IJmuiden (pilot/demo plant). Dit omvat nieuwe stoffen, vervangingen van bestaande stoffen en wijzigingen in samenstelling of hoeveelheid van reeds geregistreerde stoffen [6].</w:t>
      </w:r>
    </w:p>
    <w:p>
      <w:pPr>
        <w:pStyle w:val="Heading2"/>
      </w:pPr>
      <w:r>
        <w:rPr>
          <w:color w:val="003366"/>
        </w:rPr>
        <w:t>2.3 Procedurescode</w:t>
      </w:r>
    </w:p>
    <w:p>
      <w:r>
        <w:t>PE-240-01 — Aanvraag, beoordeling en goedkeuring van gevaarlijke stoffen.</w:t>
      </w:r>
    </w:p>
    <w:p>
      <w:pPr>
        <w:pStyle w:val="Heading2"/>
      </w:pPr>
      <w:r>
        <w:rPr>
          <w:color w:val="003366"/>
        </w:rPr>
        <w:t>2.4 Referenties</w:t>
      </w:r>
    </w:p>
    <w:p>
      <w:r>
        <w:t>• FM-240-01-01: Flowschema aanvraag gevaarlijke producten</w:t>
        <w:br/>
        <w:t>• FM-240-01-02: HSE Chemical Request Form v1.1</w:t>
        <w:br/>
        <w:t>• Element 2 Document #01: Stofinventaris</w:t>
        <w:br/>
        <w:t>• Meta-Dossier VBS Element 3 v1.1</w:t>
      </w:r>
    </w:p>
    <w:p>
      <w:r>
        <w:br w:type="page"/>
      </w:r>
    </w:p>
    <w:p>
      <w:pPr>
        <w:pStyle w:val="Heading1"/>
      </w:pPr>
      <w:r>
        <w:rPr>
          <w:color w:val="003366"/>
        </w:rPr>
        <w:t>3. Wettelijk Kader</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pPr>
              <w:jc w:val="center"/>
            </w:pPr>
            <w:r/>
            <w:r>
              <w:rPr>
                <w:b/>
                <w:color w:val="003366"/>
                <w:sz w:val="20"/>
              </w:rPr>
              <w:t>Wetgeving</w:t>
            </w:r>
          </w:p>
        </w:tc>
        <w:tc>
          <w:tcPr>
            <w:tcW w:type="dxa" w:w="3135"/>
          </w:tcPr>
          <w:p>
            <w:pPr>
              <w:jc w:val="center"/>
            </w:pPr>
            <w:r/>
            <w:r>
              <w:rPr>
                <w:b/>
                <w:color w:val="003366"/>
                <w:sz w:val="20"/>
              </w:rPr>
              <w:t>Relevantie</w:t>
            </w:r>
          </w:p>
        </w:tc>
        <w:tc>
          <w:tcPr>
            <w:tcW w:type="dxa" w:w="3135"/>
          </w:tcPr>
          <w:p>
            <w:pPr>
              <w:jc w:val="center"/>
            </w:pPr>
            <w:r/>
            <w:r>
              <w:rPr>
                <w:b/>
                <w:color w:val="003366"/>
                <w:sz w:val="20"/>
              </w:rPr>
              <w:t>Referentie</w:t>
            </w:r>
          </w:p>
        </w:tc>
      </w:tr>
      <w:tr>
        <w:tc>
          <w:tcPr>
            <w:tcW w:type="dxa" w:w="3135"/>
          </w:tcPr>
          <w:p>
            <w:r/>
            <w:r>
              <w:rPr>
                <w:sz w:val="20"/>
              </w:rPr>
              <w:t>BRZO 2015</w:t>
            </w:r>
          </w:p>
        </w:tc>
        <w:tc>
          <w:tcPr>
            <w:tcW w:type="dxa" w:w="3135"/>
          </w:tcPr>
          <w:p>
            <w:r/>
            <w:r>
              <w:rPr>
                <w:sz w:val="20"/>
              </w:rPr>
              <w:t>Art. 7 Element IV — operationele controle gevaarlijke stoffen</w:t>
            </w:r>
          </w:p>
        </w:tc>
        <w:tc>
          <w:tcPr>
            <w:tcW w:type="dxa" w:w="3135"/>
          </w:tcPr>
          <w:p>
            <w:r/>
            <w:r>
              <w:rPr>
                <w:sz w:val="20"/>
              </w:rPr>
              <w:t>[1]</w:t>
            </w:r>
          </w:p>
        </w:tc>
      </w:tr>
      <w:tr>
        <w:tc>
          <w:tcPr>
            <w:tcW w:type="dxa" w:w="3135"/>
          </w:tcPr>
          <w:p>
            <w:r/>
            <w:r>
              <w:rPr>
                <w:sz w:val="20"/>
              </w:rPr>
              <w:t>Seveso III (2012/18/EU)</w:t>
            </w:r>
          </w:p>
        </w:tc>
        <w:tc>
          <w:tcPr>
            <w:tcW w:type="dxa" w:w="3135"/>
          </w:tcPr>
          <w:p>
            <w:r/>
            <w:r>
              <w:rPr>
                <w:sz w:val="20"/>
              </w:rPr>
              <w:t>Art. 12 — preventie van zware ongevallen met gevaarlijke stoffen</w:t>
            </w:r>
          </w:p>
        </w:tc>
        <w:tc>
          <w:tcPr>
            <w:tcW w:type="dxa" w:w="3135"/>
          </w:tcPr>
          <w:p>
            <w:r/>
            <w:r>
              <w:rPr>
                <w:sz w:val="20"/>
              </w:rPr>
              <w:t>[2]</w:t>
            </w:r>
          </w:p>
        </w:tc>
      </w:tr>
      <w:tr>
        <w:tc>
          <w:tcPr>
            <w:tcW w:type="dxa" w:w="3135"/>
          </w:tcPr>
          <w:p>
            <w:r/>
            <w:r>
              <w:rPr>
                <w:sz w:val="20"/>
              </w:rPr>
              <w:t>REACH (EG 1907/2006)</w:t>
            </w:r>
          </w:p>
        </w:tc>
        <w:tc>
          <w:tcPr>
            <w:tcW w:type="dxa" w:w="3135"/>
          </w:tcPr>
          <w:p>
            <w:r/>
            <w:r>
              <w:rPr>
                <w:sz w:val="20"/>
              </w:rPr>
              <w:t>Registratie, evaluatie en autorisatie chemische stoffen</w:t>
            </w:r>
          </w:p>
        </w:tc>
        <w:tc>
          <w:tcPr>
            <w:tcW w:type="dxa" w:w="3135"/>
          </w:tcPr>
          <w:p>
            <w:r/>
            <w:r>
              <w:rPr>
                <w:sz w:val="20"/>
              </w:rPr>
              <w:t>[2]</w:t>
            </w:r>
          </w:p>
        </w:tc>
      </w:tr>
      <w:tr>
        <w:tc>
          <w:tcPr>
            <w:tcW w:type="dxa" w:w="3135"/>
          </w:tcPr>
          <w:p>
            <w:r/>
            <w:r>
              <w:rPr>
                <w:sz w:val="20"/>
              </w:rPr>
              <w:t>CLP (EG 1272/2008)</w:t>
            </w:r>
          </w:p>
        </w:tc>
        <w:tc>
          <w:tcPr>
            <w:tcW w:type="dxa" w:w="3135"/>
          </w:tcPr>
          <w:p>
            <w:r/>
            <w:r>
              <w:rPr>
                <w:sz w:val="20"/>
              </w:rPr>
              <w:t>Classificatie, labeling en verpakking van gevaarlijke stoffen</w:t>
            </w:r>
          </w:p>
        </w:tc>
        <w:tc>
          <w:tcPr>
            <w:tcW w:type="dxa" w:w="3135"/>
          </w:tcPr>
          <w:p>
            <w:r/>
            <w:r>
              <w:rPr>
                <w:sz w:val="20"/>
              </w:rPr>
              <w:t>[3]</w:t>
            </w:r>
          </w:p>
        </w:tc>
      </w:tr>
      <w:tr>
        <w:tc>
          <w:tcPr>
            <w:tcW w:type="dxa" w:w="3135"/>
          </w:tcPr>
          <w:p>
            <w:r/>
            <w:r>
              <w:rPr>
                <w:sz w:val="20"/>
              </w:rPr>
              <w:t>PGS 15</w:t>
            </w:r>
          </w:p>
        </w:tc>
        <w:tc>
          <w:tcPr>
            <w:tcW w:type="dxa" w:w="3135"/>
          </w:tcPr>
          <w:p>
            <w:r/>
            <w:r>
              <w:rPr>
                <w:sz w:val="20"/>
              </w:rPr>
              <w:t>Opslag van gevaarlijke stoffen in verpakking</w:t>
            </w:r>
          </w:p>
        </w:tc>
        <w:tc>
          <w:tcPr>
            <w:tcW w:type="dxa" w:w="3135"/>
          </w:tcPr>
          <w:p>
            <w:r/>
            <w:r>
              <w:rPr>
                <w:sz w:val="20"/>
              </w:rPr>
              <w:t>[4]</w:t>
            </w:r>
          </w:p>
        </w:tc>
      </w:tr>
      <w:tr>
        <w:tc>
          <w:tcPr>
            <w:tcW w:type="dxa" w:w="3135"/>
          </w:tcPr>
          <w:p>
            <w:r/>
            <w:r>
              <w:rPr>
                <w:sz w:val="20"/>
              </w:rPr>
              <w:t>ADR</w:t>
            </w:r>
          </w:p>
        </w:tc>
        <w:tc>
          <w:tcPr>
            <w:tcW w:type="dxa" w:w="3135"/>
          </w:tcPr>
          <w:p>
            <w:r/>
            <w:r>
              <w:rPr>
                <w:sz w:val="20"/>
              </w:rPr>
              <w:t>Vervoer van gevaarlijke stoffen over de weg</w:t>
            </w:r>
          </w:p>
        </w:tc>
        <w:tc>
          <w:tcPr>
            <w:tcW w:type="dxa" w:w="3135"/>
          </w:tcPr>
          <w:p>
            <w:r/>
            <w:r>
              <w:rPr>
                <w:sz w:val="20"/>
              </w:rPr>
              <w:t>[4]</w:t>
            </w:r>
          </w:p>
        </w:tc>
      </w:tr>
      <w:tr>
        <w:tc>
          <w:tcPr>
            <w:tcW w:type="dxa" w:w="3135"/>
          </w:tcPr>
          <w:p>
            <w:r/>
            <w:r>
              <w:rPr>
                <w:sz w:val="20"/>
              </w:rPr>
              <w:t>Arbowet / Arbobesluit</w:t>
            </w:r>
          </w:p>
        </w:tc>
        <w:tc>
          <w:tcPr>
            <w:tcW w:type="dxa" w:w="3135"/>
          </w:tcPr>
          <w:p>
            <w:r/>
            <w:r>
              <w:rPr>
                <w:sz w:val="20"/>
              </w:rPr>
              <w:t>Algemene werkplekveiligheid, blootstellingslimieten</w:t>
            </w:r>
          </w:p>
        </w:tc>
        <w:tc>
          <w:tcPr>
            <w:tcW w:type="dxa" w:w="3135"/>
          </w:tcPr>
          <w:p>
            <w:r/>
            <w:r>
              <w:rPr>
                <w:sz w:val="20"/>
              </w:rPr>
              <w:t>[1]</w:t>
            </w:r>
          </w:p>
        </w:tc>
      </w:tr>
      <w:tr>
        <w:tc>
          <w:tcPr>
            <w:tcW w:type="dxa" w:w="3135"/>
          </w:tcPr>
          <w:p>
            <w:r/>
            <w:r>
              <w:rPr>
                <w:sz w:val="20"/>
              </w:rPr>
              <w:t>NTA 8620</w:t>
            </w:r>
          </w:p>
        </w:tc>
        <w:tc>
          <w:tcPr>
            <w:tcW w:type="dxa" w:w="3135"/>
          </w:tcPr>
          <w:p>
            <w:r/>
            <w:r>
              <w:rPr>
                <w:sz w:val="20"/>
              </w:rPr>
              <w:t>Brzo-veiligheidsrapportage — controle op exploitatie</w:t>
            </w:r>
          </w:p>
        </w:tc>
        <w:tc>
          <w:tcPr>
            <w:tcW w:type="dxa" w:w="3135"/>
          </w:tcPr>
          <w:p>
            <w:r/>
            <w:r>
              <w:rPr>
                <w:sz w:val="20"/>
              </w:rPr>
              <w:t>[1]</w:t>
            </w:r>
          </w:p>
        </w:tc>
      </w:tr>
    </w:tbl>
    <w:p>
      <w:r>
        <w:br w:type="page"/>
      </w:r>
    </w:p>
    <w:p>
      <w:pPr>
        <w:pStyle w:val="Heading1"/>
      </w:pPr>
      <w:r>
        <w:rPr>
          <w:color w:val="003366"/>
        </w:rPr>
        <w:t>4. Definities &amp; Afkortingen</w:t>
      </w:r>
    </w:p>
    <w:tbl>
      <w:tblPr>
        <w:tblStyle w:val="LightGrid-Accent1"/>
        <w:tblW w:type="auto" w:w="0"/>
        <w:jc w:val="center"/>
        <w:tblLook w:firstColumn="1" w:firstRow="1" w:lastColumn="0" w:lastRow="0" w:noHBand="0" w:noVBand="1" w:val="04A0"/>
      </w:tblPr>
      <w:tblGrid>
        <w:gridCol w:w="4703"/>
        <w:gridCol w:w="4703"/>
      </w:tblGrid>
      <w:tr>
        <w:tc>
          <w:tcPr>
            <w:tcW w:type="dxa" w:w="4703"/>
          </w:tcPr>
          <w:p>
            <w:pPr>
              <w:jc w:val="center"/>
            </w:pPr>
            <w:r/>
            <w:r>
              <w:rPr>
                <w:b/>
                <w:color w:val="003366"/>
                <w:sz w:val="20"/>
              </w:rPr>
              <w:t>Term</w:t>
            </w:r>
          </w:p>
        </w:tc>
        <w:tc>
          <w:tcPr>
            <w:tcW w:type="dxa" w:w="4703"/>
          </w:tcPr>
          <w:p>
            <w:pPr>
              <w:jc w:val="center"/>
            </w:pPr>
            <w:r/>
            <w:r>
              <w:rPr>
                <w:b/>
                <w:color w:val="003366"/>
                <w:sz w:val="20"/>
              </w:rPr>
              <w:t>Definitie</w:t>
            </w:r>
          </w:p>
        </w:tc>
      </w:tr>
      <w:tr>
        <w:tc>
          <w:tcPr>
            <w:tcW w:type="dxa" w:w="4703"/>
          </w:tcPr>
          <w:p>
            <w:r/>
            <w:r>
              <w:rPr>
                <w:sz w:val="20"/>
              </w:rPr>
              <w:t>Gevaarlijke stof</w:t>
            </w:r>
          </w:p>
        </w:tc>
        <w:tc>
          <w:tcPr>
            <w:tcW w:type="dxa" w:w="4703"/>
          </w:tcPr>
          <w:p>
            <w:r/>
            <w:r>
              <w:rPr>
                <w:sz w:val="20"/>
              </w:rPr>
              <w:t>Stof of mengsel dat voldoet aan de classificatiecriteria van CLP (EG 1272/2008) [3]</w:t>
            </w:r>
          </w:p>
        </w:tc>
      </w:tr>
      <w:tr>
        <w:tc>
          <w:tcPr>
            <w:tcW w:type="dxa" w:w="4703"/>
          </w:tcPr>
          <w:p>
            <w:r/>
            <w:r>
              <w:rPr>
                <w:sz w:val="20"/>
              </w:rPr>
              <w:t>MSDS / SDS</w:t>
            </w:r>
          </w:p>
        </w:tc>
        <w:tc>
          <w:tcPr>
            <w:tcW w:type="dxa" w:w="4703"/>
          </w:tcPr>
          <w:p>
            <w:r/>
            <w:r>
              <w:rPr>
                <w:sz w:val="20"/>
              </w:rPr>
              <w:t>Material Safety Data Sheet / Safety Data Sheet — gestandaardiseerde informatie over eigenschappen en gevaren van een stof [3]</w:t>
            </w:r>
          </w:p>
        </w:tc>
      </w:tr>
      <w:tr>
        <w:tc>
          <w:tcPr>
            <w:tcW w:type="dxa" w:w="4703"/>
          </w:tcPr>
          <w:p>
            <w:r/>
            <w:r>
              <w:rPr>
                <w:sz w:val="20"/>
              </w:rPr>
              <w:t>CLP-classificatie</w:t>
            </w:r>
          </w:p>
        </w:tc>
        <w:tc>
          <w:tcPr>
            <w:tcW w:type="dxa" w:w="4703"/>
          </w:tcPr>
          <w:p>
            <w:r/>
            <w:r>
              <w:rPr>
                <w:sz w:val="20"/>
              </w:rPr>
              <w:t>Indeling in gevarencategorieën volgens CLP: fysiek, gezondheid, milieu [3]</w:t>
            </w:r>
          </w:p>
        </w:tc>
      </w:tr>
      <w:tr>
        <w:tc>
          <w:tcPr>
            <w:tcW w:type="dxa" w:w="4703"/>
          </w:tcPr>
          <w:p>
            <w:r/>
            <w:r>
              <w:rPr>
                <w:sz w:val="20"/>
              </w:rPr>
              <w:t>H-zinnen</w:t>
            </w:r>
          </w:p>
        </w:tc>
        <w:tc>
          <w:tcPr>
            <w:tcW w:type="dxa" w:w="4703"/>
          </w:tcPr>
          <w:p>
            <w:r/>
            <w:r>
              <w:rPr>
                <w:sz w:val="20"/>
              </w:rPr>
              <w:t>Gevaarshints (Hazard statements) — gestandaardiseerde beschrijving van gevaren [3]</w:t>
            </w:r>
          </w:p>
        </w:tc>
      </w:tr>
      <w:tr>
        <w:tc>
          <w:tcPr>
            <w:tcW w:type="dxa" w:w="4703"/>
          </w:tcPr>
          <w:p>
            <w:r/>
            <w:r>
              <w:rPr>
                <w:sz w:val="20"/>
              </w:rPr>
              <w:t>P-zinnen</w:t>
            </w:r>
          </w:p>
        </w:tc>
        <w:tc>
          <w:tcPr>
            <w:tcW w:type="dxa" w:w="4703"/>
          </w:tcPr>
          <w:p>
            <w:r/>
            <w:r>
              <w:rPr>
                <w:sz w:val="20"/>
              </w:rPr>
              <w:t>Voorzorgsmaatregelen (Precautionary statements) — veiligheidsadviezen [3]</w:t>
            </w:r>
          </w:p>
        </w:tc>
      </w:tr>
      <w:tr>
        <w:tc>
          <w:tcPr>
            <w:tcW w:type="dxa" w:w="4703"/>
          </w:tcPr>
          <w:p>
            <w:r/>
            <w:r>
              <w:rPr>
                <w:sz w:val="20"/>
              </w:rPr>
              <w:t>SVHC</w:t>
            </w:r>
          </w:p>
        </w:tc>
        <w:tc>
          <w:tcPr>
            <w:tcW w:type="dxa" w:w="4703"/>
          </w:tcPr>
          <w:p>
            <w:r/>
            <w:r>
              <w:rPr>
                <w:sz w:val="20"/>
              </w:rPr>
              <w:t>Substance of Very High Concern — stof op de REACH-kandidatenlijst [2]</w:t>
            </w:r>
          </w:p>
        </w:tc>
      </w:tr>
      <w:tr>
        <w:tc>
          <w:tcPr>
            <w:tcW w:type="dxa" w:w="4703"/>
          </w:tcPr>
          <w:p>
            <w:r/>
            <w:r>
              <w:rPr>
                <w:sz w:val="20"/>
              </w:rPr>
              <w:t>EURAL</w:t>
            </w:r>
          </w:p>
        </w:tc>
        <w:tc>
          <w:tcPr>
            <w:tcW w:type="dxa" w:w="4703"/>
          </w:tcPr>
          <w:p>
            <w:r/>
            <w:r>
              <w:rPr>
                <w:sz w:val="20"/>
              </w:rPr>
              <w:t>Europees Afvalstoffen Register — classificatie van afvalstromen</w:t>
            </w:r>
          </w:p>
        </w:tc>
      </w:tr>
      <w:tr>
        <w:tc>
          <w:tcPr>
            <w:tcW w:type="dxa" w:w="4703"/>
          </w:tcPr>
          <w:p>
            <w:r/>
            <w:r>
              <w:rPr>
                <w:sz w:val="20"/>
              </w:rPr>
              <w:t>PGS 15 opslagklasse</w:t>
            </w:r>
          </w:p>
        </w:tc>
        <w:tc>
          <w:tcPr>
            <w:tcW w:type="dxa" w:w="4703"/>
          </w:tcPr>
          <w:p>
            <w:r/>
            <w:r>
              <w:rPr>
                <w:sz w:val="20"/>
              </w:rPr>
              <w:t>Indeling voor opslag van gevaarlijke stoffen in verpakking (PGS 15:2025) [4]</w:t>
            </w:r>
          </w:p>
        </w:tc>
      </w:tr>
      <w:tr>
        <w:tc>
          <w:tcPr>
            <w:tcW w:type="dxa" w:w="4703"/>
          </w:tcPr>
          <w:p>
            <w:r/>
            <w:r>
              <w:rPr>
                <w:sz w:val="20"/>
              </w:rPr>
              <w:t>BRZO</w:t>
            </w:r>
          </w:p>
        </w:tc>
        <w:tc>
          <w:tcPr>
            <w:tcW w:type="dxa" w:w="4703"/>
          </w:tcPr>
          <w:p>
            <w:r/>
            <w:r>
              <w:rPr>
                <w:sz w:val="20"/>
              </w:rPr>
              <w:t>Besluit risico's zware ongevallen 2015 — Nederlandse implementatie Seveso III</w:t>
            </w:r>
          </w:p>
        </w:tc>
      </w:tr>
      <w:tr>
        <w:tc>
          <w:tcPr>
            <w:tcW w:type="dxa" w:w="4703"/>
          </w:tcPr>
          <w:p>
            <w:r/>
            <w:r>
              <w:rPr>
                <w:sz w:val="20"/>
              </w:rPr>
              <w:t>TRA</w:t>
            </w:r>
          </w:p>
        </w:tc>
        <w:tc>
          <w:tcPr>
            <w:tcW w:type="dxa" w:w="4703"/>
          </w:tcPr>
          <w:p>
            <w:r/>
            <w:r>
              <w:rPr>
                <w:sz w:val="20"/>
              </w:rPr>
              <w:t>Task Risk Assessment — taakrisicoanalyse</w:t>
            </w:r>
          </w:p>
        </w:tc>
      </w:tr>
      <w:tr>
        <w:tc>
          <w:tcPr>
            <w:tcW w:type="dxa" w:w="4703"/>
          </w:tcPr>
          <w:p>
            <w:r/>
            <w:r>
              <w:rPr>
                <w:sz w:val="20"/>
              </w:rPr>
              <w:t>PBM</w:t>
            </w:r>
          </w:p>
        </w:tc>
        <w:tc>
          <w:tcPr>
            <w:tcW w:type="dxa" w:w="4703"/>
          </w:tcPr>
          <w:p>
            <w:r/>
            <w:r>
              <w:rPr>
                <w:sz w:val="20"/>
              </w:rPr>
              <w:t>Persoonlijk BeschermingsMiddel</w:t>
            </w:r>
          </w:p>
        </w:tc>
      </w:tr>
    </w:tbl>
    <w:p>
      <w:r>
        <w:br w:type="page"/>
      </w:r>
    </w:p>
    <w:p>
      <w:pPr>
        <w:pStyle w:val="Heading1"/>
      </w:pPr>
      <w:r>
        <w:rPr>
          <w:color w:val="003366"/>
        </w:rPr>
        <w:t>5. Verantwoordelijkheden (RACI)</w:t>
      </w:r>
    </w:p>
    <w:p>
      <w:r>
        <w:t>R = Responsible (uitvoerend), A = Accountable (eindverantwoordelijk), C = Consulted (geconsulteerd), I = Informed (geïnformeerd).</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Activiteit</w:t>
            </w:r>
          </w:p>
        </w:tc>
        <w:tc>
          <w:tcPr>
            <w:tcW w:type="dxa" w:w="1881"/>
          </w:tcPr>
          <w:p>
            <w:pPr>
              <w:jc w:val="center"/>
            </w:pPr>
            <w:r/>
            <w:r>
              <w:rPr>
                <w:b/>
                <w:color w:val="003366"/>
                <w:sz w:val="20"/>
              </w:rPr>
              <w:t>HSEQ Manager</w:t>
            </w:r>
          </w:p>
        </w:tc>
        <w:tc>
          <w:tcPr>
            <w:tcW w:type="dxa" w:w="1881"/>
          </w:tcPr>
          <w:p>
            <w:pPr>
              <w:jc w:val="center"/>
            </w:pPr>
            <w:r/>
            <w:r>
              <w:rPr>
                <w:b/>
                <w:color w:val="003366"/>
                <w:sz w:val="20"/>
              </w:rPr>
              <w:t>Procurement</w:t>
            </w:r>
          </w:p>
        </w:tc>
        <w:tc>
          <w:tcPr>
            <w:tcW w:type="dxa" w:w="1881"/>
          </w:tcPr>
          <w:p>
            <w:pPr>
              <w:jc w:val="center"/>
            </w:pPr>
            <w:r/>
            <w:r>
              <w:rPr>
                <w:b/>
                <w:color w:val="003366"/>
                <w:sz w:val="20"/>
              </w:rPr>
              <w:t>Lab Manager</w:t>
            </w:r>
          </w:p>
        </w:tc>
        <w:tc>
          <w:tcPr>
            <w:tcW w:type="dxa" w:w="1881"/>
          </w:tcPr>
          <w:p>
            <w:pPr>
              <w:jc w:val="center"/>
            </w:pPr>
            <w:r/>
            <w:r>
              <w:rPr>
                <w:b/>
                <w:color w:val="003366"/>
                <w:sz w:val="20"/>
              </w:rPr>
              <w:t>Operations Manager</w:t>
            </w:r>
          </w:p>
        </w:tc>
      </w:tr>
      <w:tr>
        <w:tc>
          <w:tcPr>
            <w:tcW w:type="dxa" w:w="1881"/>
          </w:tcPr>
          <w:p>
            <w:r/>
            <w:r>
              <w:rPr>
                <w:sz w:val="20"/>
              </w:rPr>
              <w:t>Aanvraag nieuwe stof</w:t>
            </w:r>
          </w:p>
        </w:tc>
        <w:tc>
          <w:tcPr>
            <w:tcW w:type="dxa" w:w="1881"/>
          </w:tcPr>
          <w:p>
            <w:r/>
            <w:r>
              <w:rPr>
                <w:sz w:val="20"/>
              </w:rPr>
              <w:t>C</w:t>
            </w:r>
          </w:p>
        </w:tc>
        <w:tc>
          <w:tcPr>
            <w:tcW w:type="dxa" w:w="1881"/>
          </w:tcPr>
          <w:p>
            <w:r/>
            <w:r>
              <w:rPr>
                <w:sz w:val="20"/>
              </w:rPr>
              <w:t>R</w:t>
            </w:r>
          </w:p>
        </w:tc>
        <w:tc>
          <w:tcPr>
            <w:tcW w:type="dxa" w:w="1881"/>
          </w:tcPr>
          <w:p>
            <w:r/>
            <w:r>
              <w:rPr>
                <w:sz w:val="20"/>
              </w:rPr>
              <w:t>R</w:t>
            </w:r>
          </w:p>
        </w:tc>
        <w:tc>
          <w:tcPr>
            <w:tcW w:type="dxa" w:w="1881"/>
          </w:tcPr>
          <w:p>
            <w:r/>
            <w:r>
              <w:rPr>
                <w:sz w:val="20"/>
              </w:rPr>
              <w:t>I</w:t>
            </w:r>
          </w:p>
        </w:tc>
      </w:tr>
      <w:tr>
        <w:tc>
          <w:tcPr>
            <w:tcW w:type="dxa" w:w="1881"/>
          </w:tcPr>
          <w:p>
            <w:r/>
            <w:r>
              <w:rPr>
                <w:sz w:val="20"/>
              </w:rPr>
              <w:t>MSDS verzameling</w:t>
            </w:r>
          </w:p>
        </w:tc>
        <w:tc>
          <w:tcPr>
            <w:tcW w:type="dxa" w:w="1881"/>
          </w:tcPr>
          <w:p>
            <w:r/>
            <w:r>
              <w:rPr>
                <w:sz w:val="20"/>
              </w:rPr>
              <w:t>C</w:t>
            </w:r>
          </w:p>
        </w:tc>
        <w:tc>
          <w:tcPr>
            <w:tcW w:type="dxa" w:w="1881"/>
          </w:tcPr>
          <w:p>
            <w:r/>
            <w:r>
              <w:rPr>
                <w:sz w:val="20"/>
              </w:rPr>
              <w:t>R</w:t>
            </w:r>
          </w:p>
        </w:tc>
        <w:tc>
          <w:tcPr>
            <w:tcW w:type="dxa" w:w="1881"/>
          </w:tcPr>
          <w:p>
            <w:r/>
            <w:r>
              <w:rPr>
                <w:sz w:val="20"/>
              </w:rPr>
              <w:t>C</w:t>
            </w:r>
          </w:p>
        </w:tc>
        <w:tc>
          <w:tcPr>
            <w:tcW w:type="dxa" w:w="1881"/>
          </w:tcPr>
          <w:p>
            <w:r/>
            <w:r>
              <w:rPr>
                <w:sz w:val="20"/>
              </w:rPr>
              <w:t>I</w:t>
            </w:r>
          </w:p>
        </w:tc>
      </w:tr>
      <w:tr>
        <w:tc>
          <w:tcPr>
            <w:tcW w:type="dxa" w:w="1881"/>
          </w:tcPr>
          <w:p>
            <w:r/>
            <w:r>
              <w:rPr>
                <w:sz w:val="20"/>
              </w:rPr>
              <w:t>CLP-classificatie</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Risicobeoordeling</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C</w:t>
            </w:r>
          </w:p>
        </w:tc>
      </w:tr>
      <w:tr>
        <w:tc>
          <w:tcPr>
            <w:tcW w:type="dxa" w:w="1881"/>
          </w:tcPr>
          <w:p>
            <w:r/>
            <w:r>
              <w:rPr>
                <w:sz w:val="20"/>
              </w:rPr>
              <w:t>Opslagklasse (PGS 15)</w:t>
            </w:r>
          </w:p>
        </w:tc>
        <w:tc>
          <w:tcPr>
            <w:tcW w:type="dxa" w:w="1881"/>
          </w:tcPr>
          <w:p>
            <w:r/>
            <w:r>
              <w:rPr>
                <w:sz w:val="20"/>
              </w:rPr>
              <w:t>R</w:t>
            </w:r>
          </w:p>
        </w:tc>
        <w:tc>
          <w:tcPr>
            <w:tcW w:type="dxa" w:w="1881"/>
          </w:tcPr>
          <w:p>
            <w:r/>
            <w:r>
              <w:rPr>
                <w:sz w:val="20"/>
              </w:rPr>
              <w:t>I</w:t>
            </w:r>
          </w:p>
        </w:tc>
        <w:tc>
          <w:tcPr>
            <w:tcW w:type="dxa" w:w="1881"/>
          </w:tcPr>
          <w:p>
            <w:r/>
            <w:r>
              <w:rPr>
                <w:sz w:val="20"/>
              </w:rPr>
              <w:t>I</w:t>
            </w:r>
          </w:p>
        </w:tc>
        <w:tc>
          <w:tcPr>
            <w:tcW w:type="dxa" w:w="1881"/>
          </w:tcPr>
          <w:p>
            <w:r/>
            <w:r>
              <w:rPr>
                <w:sz w:val="20"/>
              </w:rPr>
              <w:t>C</w:t>
            </w:r>
          </w:p>
        </w:tc>
      </w:tr>
      <w:tr>
        <w:tc>
          <w:tcPr>
            <w:tcW w:type="dxa" w:w="1881"/>
          </w:tcPr>
          <w:p>
            <w:r/>
            <w:r>
              <w:rPr>
                <w:sz w:val="20"/>
              </w:rPr>
              <w:t>Vergunningscheck (Seveso)</w:t>
            </w:r>
          </w:p>
        </w:tc>
        <w:tc>
          <w:tcPr>
            <w:tcW w:type="dxa" w:w="1881"/>
          </w:tcPr>
          <w:p>
            <w:r/>
            <w:r>
              <w:rPr>
                <w:sz w:val="20"/>
              </w:rPr>
              <w:t>R</w:t>
            </w:r>
          </w:p>
        </w:tc>
        <w:tc>
          <w:tcPr>
            <w:tcW w:type="dxa" w:w="1881"/>
          </w:tcPr>
          <w:p>
            <w:r/>
            <w:r>
              <w:rPr>
                <w:sz w:val="20"/>
              </w:rPr>
              <w:t>I</w:t>
            </w:r>
          </w:p>
        </w:tc>
        <w:tc>
          <w:tcPr>
            <w:tcW w:type="dxa" w:w="1881"/>
          </w:tcPr>
          <w:p>
            <w:r/>
            <w:r>
              <w:rPr>
                <w:sz w:val="20"/>
              </w:rPr>
              <w:t>I</w:t>
            </w:r>
          </w:p>
        </w:tc>
        <w:tc>
          <w:tcPr>
            <w:tcW w:type="dxa" w:w="1881"/>
          </w:tcPr>
          <w:p>
            <w:r/>
            <w:r>
              <w:rPr>
                <w:sz w:val="20"/>
              </w:rPr>
              <w:t>I</w:t>
            </w:r>
          </w:p>
        </w:tc>
      </w:tr>
      <w:tr>
        <w:tc>
          <w:tcPr>
            <w:tcW w:type="dxa" w:w="1881"/>
          </w:tcPr>
          <w:p>
            <w:r/>
            <w:r>
              <w:rPr>
                <w:sz w:val="20"/>
              </w:rPr>
              <w:t>Goedkeuring/Afwijzing</w:t>
            </w:r>
          </w:p>
        </w:tc>
        <w:tc>
          <w:tcPr>
            <w:tcW w:type="dxa" w:w="1881"/>
          </w:tcPr>
          <w:p>
            <w:r/>
            <w:r>
              <w:rPr>
                <w:sz w:val="20"/>
              </w:rPr>
              <w:t>A</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Registratie stofinventaris</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PBM-matrix</w:t>
            </w:r>
          </w:p>
        </w:tc>
        <w:tc>
          <w:tcPr>
            <w:tcW w:type="dxa" w:w="1881"/>
          </w:tcPr>
          <w:p>
            <w:r/>
            <w:r>
              <w:rPr>
                <w:sz w:val="20"/>
              </w:rPr>
              <w:t>R</w:t>
            </w:r>
          </w:p>
        </w:tc>
        <w:tc>
          <w:tcPr>
            <w:tcW w:type="dxa" w:w="1881"/>
          </w:tcPr>
          <w:p>
            <w:r/>
            <w:r>
              <w:rPr>
                <w:sz w:val="20"/>
              </w:rPr>
              <w:t>I</w:t>
            </w:r>
          </w:p>
        </w:tc>
        <w:tc>
          <w:tcPr>
            <w:tcW w:type="dxa" w:w="1881"/>
          </w:tcPr>
          <w:p>
            <w:r/>
            <w:r>
              <w:rPr>
                <w:sz w:val="20"/>
              </w:rPr>
              <w:t>C</w:t>
            </w:r>
          </w:p>
        </w:tc>
        <w:tc>
          <w:tcPr>
            <w:tcW w:type="dxa" w:w="1881"/>
          </w:tcPr>
          <w:p>
            <w:r/>
            <w:r>
              <w:rPr>
                <w:sz w:val="20"/>
              </w:rPr>
              <w:t>I</w:t>
            </w:r>
          </w:p>
        </w:tc>
      </w:tr>
      <w:tr>
        <w:tc>
          <w:tcPr>
            <w:tcW w:type="dxa" w:w="1881"/>
          </w:tcPr>
          <w:p>
            <w:r/>
            <w:r>
              <w:rPr>
                <w:sz w:val="20"/>
              </w:rPr>
              <w:t>Transportcontrole (ADR)</w:t>
            </w:r>
          </w:p>
        </w:tc>
        <w:tc>
          <w:tcPr>
            <w:tcW w:type="dxa" w:w="1881"/>
          </w:tcPr>
          <w:p>
            <w:r/>
            <w:r>
              <w:rPr>
                <w:sz w:val="20"/>
              </w:rPr>
              <w:t>C</w:t>
            </w:r>
          </w:p>
        </w:tc>
        <w:tc>
          <w:tcPr>
            <w:tcW w:type="dxa" w:w="1881"/>
          </w:tcPr>
          <w:p>
            <w:r/>
            <w:r>
              <w:rPr>
                <w:sz w:val="20"/>
              </w:rPr>
              <w:t>R</w:t>
            </w:r>
          </w:p>
        </w:tc>
        <w:tc>
          <w:tcPr>
            <w:tcW w:type="dxa" w:w="1881"/>
          </w:tcPr>
          <w:p>
            <w:r/>
            <w:r>
              <w:rPr>
                <w:sz w:val="20"/>
              </w:rPr>
              <w:t>I</w:t>
            </w:r>
          </w:p>
        </w:tc>
        <w:tc>
          <w:tcPr>
            <w:tcW w:type="dxa" w:w="1881"/>
          </w:tcPr>
          <w:p>
            <w:r/>
            <w:r>
              <w:rPr>
                <w:sz w:val="20"/>
              </w:rPr>
              <w:t>R</w:t>
            </w:r>
          </w:p>
        </w:tc>
      </w:tr>
      <w:tr>
        <w:tc>
          <w:tcPr>
            <w:tcW w:type="dxa" w:w="1881"/>
          </w:tcPr>
          <w:p>
            <w:r/>
            <w:r>
              <w:rPr>
                <w:sz w:val="20"/>
              </w:rPr>
              <w:t>Opslag implementatie</w:t>
            </w:r>
          </w:p>
        </w:tc>
        <w:tc>
          <w:tcPr>
            <w:tcW w:type="dxa" w:w="1881"/>
          </w:tcPr>
          <w:p>
            <w:r/>
            <w:r>
              <w:rPr>
                <w:sz w:val="20"/>
              </w:rPr>
              <w:t>C</w:t>
            </w:r>
          </w:p>
        </w:tc>
        <w:tc>
          <w:tcPr>
            <w:tcW w:type="dxa" w:w="1881"/>
          </w:tcPr>
          <w:p>
            <w:r/>
            <w:r>
              <w:rPr>
                <w:sz w:val="20"/>
              </w:rPr>
              <w:t>I</w:t>
            </w:r>
          </w:p>
        </w:tc>
        <w:tc>
          <w:tcPr>
            <w:tcW w:type="dxa" w:w="1881"/>
          </w:tcPr>
          <w:p>
            <w:r/>
            <w:r>
              <w:rPr>
                <w:sz w:val="20"/>
              </w:rPr>
              <w:t>I</w:t>
            </w:r>
          </w:p>
        </w:tc>
        <w:tc>
          <w:tcPr>
            <w:tcW w:type="dxa" w:w="1881"/>
          </w:tcPr>
          <w:p>
            <w:r/>
            <w:r>
              <w:rPr>
                <w:sz w:val="20"/>
              </w:rPr>
              <w:t>R</w:t>
            </w:r>
          </w:p>
        </w:tc>
      </w:tr>
      <w:tr>
        <w:tc>
          <w:tcPr>
            <w:tcW w:type="dxa" w:w="1881"/>
          </w:tcPr>
          <w:p>
            <w:r/>
            <w:r>
              <w:rPr>
                <w:sz w:val="20"/>
              </w:rPr>
              <w:t>Communicatie medewerkers</w:t>
            </w:r>
          </w:p>
        </w:tc>
        <w:tc>
          <w:tcPr>
            <w:tcW w:type="dxa" w:w="1881"/>
          </w:tcPr>
          <w:p>
            <w:r/>
            <w:r>
              <w:rPr>
                <w:sz w:val="20"/>
              </w:rPr>
              <w:t>R</w:t>
            </w:r>
          </w:p>
        </w:tc>
        <w:tc>
          <w:tcPr>
            <w:tcW w:type="dxa" w:w="1881"/>
          </w:tcPr>
          <w:p>
            <w:r/>
            <w:r>
              <w:rPr>
                <w:sz w:val="20"/>
              </w:rPr>
              <w:t>I</w:t>
            </w:r>
          </w:p>
        </w:tc>
        <w:tc>
          <w:tcPr>
            <w:tcW w:type="dxa" w:w="1881"/>
          </w:tcPr>
          <w:p>
            <w:r/>
            <w:r>
              <w:rPr>
                <w:sz w:val="20"/>
              </w:rPr>
              <w:t>I</w:t>
            </w:r>
          </w:p>
        </w:tc>
        <w:tc>
          <w:tcPr>
            <w:tcW w:type="dxa" w:w="1881"/>
          </w:tcPr>
          <w:p>
            <w:r/>
            <w:r>
              <w:rPr>
                <w:sz w:val="20"/>
              </w:rPr>
              <w:t>R</w:t>
            </w:r>
          </w:p>
        </w:tc>
      </w:tr>
    </w:tbl>
    <w:p>
      <w:r>
        <w:br w:type="page"/>
      </w:r>
    </w:p>
    <w:p>
      <w:pPr>
        <w:pStyle w:val="Heading1"/>
      </w:pPr>
      <w:r>
        <w:rPr>
          <w:color w:val="003366"/>
        </w:rPr>
        <w:t>6. Procedure</w:t>
      </w:r>
    </w:p>
    <w:p>
      <w:pPr>
        <w:pStyle w:val="Heading2"/>
      </w:pPr>
      <w:r>
        <w:rPr>
          <w:color w:val="003366"/>
        </w:rPr>
        <w:t>Stap 1: Aanvraag nieuwe stof</w:t>
      </w:r>
    </w:p>
    <w:p>
      <w:r>
        <w:t>De aanvrager (Lab Manager, Operations of Procurement) vult het HSE Chemical Request Form (FM-240-01-02) in. Het formulier bevat: stofnaam, CAS-nummer, leverancier, beoogd gebruik, verwachte hoeveelheid, frequentie van aanlevering en vereiste opslaglocatie [1].</w:t>
      </w:r>
    </w:p>
    <w:p>
      <w:pPr>
        <w:pStyle w:val="Heading2"/>
      </w:pPr>
      <w:r>
        <w:rPr>
          <w:color w:val="003366"/>
        </w:rPr>
        <w:t>Stap 2: MSDS/SDS verzamelen en beoordelen</w:t>
      </w:r>
    </w:p>
    <w:p>
      <w:r>
        <w:t>Procurement verkrijgt de meest recente Safety Data Sheet van de leverancier. De SDS moet voldoen aan REACH Annex II [2]. De HSEQ Manager verifieert de volledigheid (alle 16 secties aanwezig en actueel).</w:t>
      </w:r>
    </w:p>
    <w:p>
      <w:pPr>
        <w:pStyle w:val="Heading2"/>
      </w:pPr>
      <w:r>
        <w:rPr>
          <w:color w:val="003366"/>
        </w:rPr>
        <w:t>Stap 3: CLP-classificatie en H/P-zinnen extractie</w:t>
      </w:r>
    </w:p>
    <w:p>
      <w:r>
        <w:t>De HSEQ Manager extraheert de CLP-classificatie uit de SDS: gevarencategorieën, H-zinnen, P-zinnen en etiketteringsvereisten [3]. Resultaat wordt gedocumenteerd in het beoordelingsformulier.</w:t>
      </w:r>
    </w:p>
    <w:p>
      <w:pPr>
        <w:pStyle w:val="Heading2"/>
      </w:pPr>
      <w:r>
        <w:rPr>
          <w:color w:val="003366"/>
        </w:rPr>
        <w:t>Stap 4: Risicobeoordeling</w:t>
      </w:r>
    </w:p>
    <w:p>
      <w:r>
        <w:t>Systematische beoordeling op vijf dimensies:</w:t>
        <w:br/>
        <w:t>• Toxisch: acute en chronische toxiciteit, carcinogeniciteit, mutageniteit</w:t>
        <w:br/>
        <w:t>• Brandbaar: flammapunt, zelfontbrandingstemperatuur, explosiegrenzen</w:t>
        <w:br/>
        <w:t>• Reactief: incompatibiliteit met andere stoffen, waterreactiviteit</w:t>
        <w:br/>
        <w:t>• Corrosief: huid- en oogschade, materiaalcompatibiliteit</w:t>
        <w:br/>
        <w:t>• Milieu: aquatische toxiciteit, bio-accumulatie, afbreekbaarheid [3][6]</w:t>
      </w:r>
    </w:p>
    <w:p>
      <w:pPr>
        <w:pStyle w:val="Heading2"/>
      </w:pPr>
      <w:r>
        <w:rPr>
          <w:color w:val="003366"/>
        </w:rPr>
        <w:t>Stap 5: Opslagklasse bepalen (PGS 15)</w:t>
      </w:r>
    </w:p>
    <w:p>
      <w:r>
        <w:t>Op basis van de CLP-classificatie wordt de PGS 15 opslagklasse bepaald [4]. Separatie-eisen worden geïdentificeerd (welke stoffen niet samen opgeslagen mogen worden).</w:t>
      </w:r>
    </w:p>
    <w:p>
      <w:pPr>
        <w:pStyle w:val="Heading2"/>
      </w:pPr>
      <w:r>
        <w:rPr>
          <w:color w:val="003366"/>
        </w:rPr>
        <w:t>Stap 6: Vergunningscheck (Seveso drempelwaarden)</w:t>
      </w:r>
    </w:p>
    <w:p>
      <w:r>
        <w:t>De HSEQ Manager controleert of de toevoeging van de stof de cumulatieve Seveso III drempelwaarden overschrijdt [2]. Beide drempelwaarden (lage en hoge) worden getoetst. Bij overschrijding wordt het Plant Manager geïnformeerd voor vergunningsactie.</w:t>
      </w:r>
    </w:p>
    <w:p>
      <w:pPr>
        <w:pStyle w:val="Heading2"/>
      </w:pPr>
      <w:r>
        <w:rPr>
          <w:color w:val="003366"/>
        </w:rPr>
        <w:t>Stap 7: Goedkeuring of afwijzing door HSEQ Manager</w:t>
      </w:r>
    </w:p>
    <w:p>
      <w:r>
        <w:t>De HSEQ Manager neemt de goedkeuringsbeslissing op basis van de goedkeuringsmatrix (§7). Resultaat: GOEDGEKEURD, VOORWAARDELIJK GOEDGEKEURD (met restricties), of afgewezen. Beslissing wordt schriftelijk gedocumenteerd.</w:t>
      </w:r>
    </w:p>
    <w:p>
      <w:pPr>
        <w:pStyle w:val="Heading2"/>
      </w:pPr>
      <w:r>
        <w:rPr>
          <w:color w:val="003366"/>
        </w:rPr>
        <w:t>Stap 8: Registratie in stofinventaris</w:t>
      </w:r>
    </w:p>
    <w:p>
      <w:r>
        <w:t>Goedgekeurde stoffen worden geregistreerd in de stofinventaris (koppeling met Element 2, Document #01) [5]. Registratie omvat: CAS-nummer, CLP-classificatie, hoeveelheid, opslaglocatie, leverancier en geldigheidsdatum SDS.</w:t>
      </w:r>
    </w:p>
    <w:p>
      <w:pPr>
        <w:pStyle w:val="Heading2"/>
      </w:pPr>
      <w:r>
        <w:rPr>
          <w:color w:val="003366"/>
        </w:rPr>
        <w:t>Stap 9: PBM-matrix bepalen</w:t>
      </w:r>
    </w:p>
    <w:p>
      <w:r>
        <w:t>De HSEQ Manager stelt de vereiste persoonlijke beschermingsmiddelen vast op basis van de risicobeoordeling en H/P-zinnen. Resultaat wordt opgenomen in de PBM-matrix en gecommuniceerd naar betrokken medewerkers.</w:t>
      </w:r>
    </w:p>
    <w:p>
      <w:pPr>
        <w:pStyle w:val="Heading2"/>
      </w:pPr>
      <w:r>
        <w:rPr>
          <w:color w:val="003366"/>
        </w:rPr>
        <w:t>Stap 10: Inkomend transportcontrole (ADR)</w:t>
      </w:r>
    </w:p>
    <w:p>
      <w:r>
        <w:t>Operations voert een ontvangstcontrole uit: verificatie ADR-vrachtbrief, etikettering, verpakkingintegriteit en lekkagevrije staat. Afwijkingen worden gerapporteerd aan HSEQ Manager [4].</w:t>
      </w:r>
    </w:p>
    <w:p>
      <w:pPr>
        <w:pStyle w:val="Heading2"/>
      </w:pPr>
      <w:r>
        <w:rPr>
          <w:color w:val="003366"/>
        </w:rPr>
        <w:t>Stap 11: Opslag implementeren (PGS 15 conform)</w:t>
      </w:r>
    </w:p>
    <w:p>
      <w:r>
        <w:t>Operations implementeert de opslag conform PGS 15-vereisten: juiste opslagklasse, separatie, ventilatie, lekbekkering en brandbeveiliging [4]. De HSEQ Manager verifieert conformiteit voor vrijgave.</w:t>
      </w:r>
    </w:p>
    <w:p>
      <w:pPr>
        <w:pStyle w:val="Heading2"/>
      </w:pPr>
      <w:r>
        <w:rPr>
          <w:color w:val="003366"/>
        </w:rPr>
        <w:t>Stap 12: Communicatie naar medewerkers</w:t>
      </w:r>
    </w:p>
    <w:p>
      <w:r>
        <w:t>De HSEQ Manager zorgt dat betrokken medewerkers geïnformeerd zijn over: gevaren, veiligheidsmaatregelen, PBM-vereisten, eerste hulp-procedures en afvalafvoer. Communicatie via toolbox meeting, SDS-toegang en signalering op opslaglocatie.</w:t>
      </w:r>
    </w:p>
    <w:p>
      <w:r>
        <w:br w:type="page"/>
      </w:r>
    </w:p>
    <w:p>
      <w:pPr>
        <w:pStyle w:val="Heading1"/>
      </w:pPr>
      <w:r>
        <w:rPr>
          <w:color w:val="003366"/>
        </w:rPr>
        <w:t>7. Goedkeuringscriteria</w:t>
      </w:r>
    </w:p>
    <w:p>
      <w:r>
        <w:t>De volgende beoordelingsmatrix wordt gehanteerd bij de goedkeuring van gevaarlijke stoffen. Een stof wordt GOEDGEKEURD indien alle criteria in de kolom "Acceptabel" vallen. Bij één of meer criteria in "Afgewezen" wordt de stof afgewezen.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pPr>
              <w:jc w:val="center"/>
            </w:pPr>
            <w:r/>
            <w:r>
              <w:rPr>
                <w:b/>
                <w:color w:val="003366"/>
                <w:sz w:val="20"/>
              </w:rPr>
              <w:t>Criterium</w:t>
            </w:r>
          </w:p>
        </w:tc>
        <w:tc>
          <w:tcPr>
            <w:tcW w:type="dxa" w:w="2351"/>
          </w:tcPr>
          <w:p>
            <w:pPr>
              <w:jc w:val="center"/>
            </w:pPr>
            <w:r/>
            <w:r>
              <w:rPr>
                <w:b/>
                <w:color w:val="003366"/>
                <w:sz w:val="20"/>
              </w:rPr>
              <w:t>Acceptabel</w:t>
            </w:r>
          </w:p>
        </w:tc>
        <w:tc>
          <w:tcPr>
            <w:tcW w:type="dxa" w:w="2351"/>
          </w:tcPr>
          <w:p>
            <w:pPr>
              <w:jc w:val="center"/>
            </w:pPr>
            <w:r/>
            <w:r>
              <w:rPr>
                <w:b/>
                <w:color w:val="003366"/>
                <w:sz w:val="20"/>
              </w:rPr>
              <w:t>Voorwaardelijk</w:t>
            </w:r>
          </w:p>
        </w:tc>
        <w:tc>
          <w:tcPr>
            <w:tcW w:type="dxa" w:w="2351"/>
          </w:tcPr>
          <w:p>
            <w:pPr>
              <w:jc w:val="center"/>
            </w:pPr>
            <w:r/>
            <w:r>
              <w:rPr>
                <w:b/>
                <w:color w:val="003366"/>
                <w:sz w:val="20"/>
              </w:rPr>
              <w:t>Afgewezen</w:t>
            </w:r>
          </w:p>
        </w:tc>
      </w:tr>
      <w:tr>
        <w:tc>
          <w:tcPr>
            <w:tcW w:type="dxa" w:w="2351"/>
          </w:tcPr>
          <w:p>
            <w:r/>
            <w:r>
              <w:rPr>
                <w:sz w:val="20"/>
              </w:rPr>
              <w:t>CLP-klasse</w:t>
            </w:r>
          </w:p>
        </w:tc>
        <w:tc>
          <w:tcPr>
            <w:tcW w:type="dxa" w:w="2351"/>
          </w:tcPr>
          <w:p>
            <w:r/>
            <w:r>
              <w:rPr>
                <w:sz w:val="20"/>
              </w:rPr>
              <w:t>Niet-toxisch / laag risico</w:t>
            </w:r>
          </w:p>
        </w:tc>
        <w:tc>
          <w:tcPr>
            <w:tcW w:type="dxa" w:w="2351"/>
          </w:tcPr>
          <w:p>
            <w:r/>
            <w:r>
              <w:rPr>
                <w:sz w:val="20"/>
              </w:rPr>
              <w:t>Gevaarlijk met adequate PBM en maatregelen</w:t>
            </w:r>
          </w:p>
        </w:tc>
        <w:tc>
          <w:tcPr>
            <w:tcW w:type="dxa" w:w="2351"/>
          </w:tcPr>
          <w:p>
            <w:r/>
            <w:r>
              <w:rPr>
                <w:sz w:val="20"/>
              </w:rPr>
              <w:t>Carc. 1A zonder substitutie-onderzoek</w:t>
            </w:r>
          </w:p>
        </w:tc>
      </w:tr>
      <w:tr>
        <w:tc>
          <w:tcPr>
            <w:tcW w:type="dxa" w:w="2351"/>
          </w:tcPr>
          <w:p>
            <w:r/>
            <w:r>
              <w:rPr>
                <w:sz w:val="20"/>
              </w:rPr>
              <w:t>Hoeveelheid</w:t>
            </w:r>
          </w:p>
        </w:tc>
        <w:tc>
          <w:tcPr>
            <w:tcW w:type="dxa" w:w="2351"/>
          </w:tcPr>
          <w:p>
            <w:r/>
            <w:r>
              <w:rPr>
                <w:sz w:val="20"/>
              </w:rPr>
              <w:t>&lt; Seveso lage drempelwaarde</w:t>
            </w:r>
          </w:p>
        </w:tc>
        <w:tc>
          <w:tcPr>
            <w:tcW w:type="dxa" w:w="2351"/>
          </w:tcPr>
          <w:p>
            <w:r/>
            <w:r>
              <w:rPr>
                <w:sz w:val="20"/>
              </w:rPr>
              <w:t>Tussen lage en hoge drempelwaarde</w:t>
            </w:r>
          </w:p>
        </w:tc>
        <w:tc>
          <w:tcPr>
            <w:tcW w:type="dxa" w:w="2351"/>
          </w:tcPr>
          <w:p>
            <w:r/>
            <w:r>
              <w:rPr>
                <w:sz w:val="20"/>
              </w:rPr>
              <w:t>&gt; Seveso bovengrens zonder vergunning</w:t>
            </w:r>
          </w:p>
        </w:tc>
      </w:tr>
      <w:tr>
        <w:tc>
          <w:tcPr>
            <w:tcW w:type="dxa" w:w="2351"/>
          </w:tcPr>
          <w:p>
            <w:r/>
            <w:r>
              <w:rPr>
                <w:sz w:val="20"/>
              </w:rPr>
              <w:t>Opslag</w:t>
            </w:r>
          </w:p>
        </w:tc>
        <w:tc>
          <w:tcPr>
            <w:tcW w:type="dxa" w:w="2351"/>
          </w:tcPr>
          <w:p>
            <w:r/>
            <w:r>
              <w:rPr>
                <w:sz w:val="20"/>
              </w:rPr>
              <w:t>PGS 15 conform, capaciteit beschikbaar</w:t>
            </w:r>
          </w:p>
        </w:tc>
        <w:tc>
          <w:tcPr>
            <w:tcW w:type="dxa" w:w="2351"/>
          </w:tcPr>
          <w:p>
            <w:r/>
            <w:r>
              <w:rPr>
                <w:sz w:val="20"/>
              </w:rPr>
              <w:t>Extra maatregelen noodzakelijk</w:t>
            </w:r>
          </w:p>
        </w:tc>
        <w:tc>
          <w:tcPr>
            <w:tcW w:type="dxa" w:w="2351"/>
          </w:tcPr>
          <w:p>
            <w:r/>
            <w:r>
              <w:rPr>
                <w:sz w:val="20"/>
              </w:rPr>
              <w:t>Geen veilige opslag mogelijk</w:t>
            </w:r>
          </w:p>
        </w:tc>
      </w:tr>
      <w:tr>
        <w:tc>
          <w:tcPr>
            <w:tcW w:type="dxa" w:w="2351"/>
          </w:tcPr>
          <w:p>
            <w:r/>
            <w:r>
              <w:rPr>
                <w:sz w:val="20"/>
              </w:rPr>
              <w:t>Vervanging</w:t>
            </w:r>
          </w:p>
        </w:tc>
        <w:tc>
          <w:tcPr>
            <w:tcW w:type="dxa" w:w="2351"/>
          </w:tcPr>
          <w:p>
            <w:r/>
            <w:r>
              <w:rPr>
                <w:sz w:val="20"/>
              </w:rPr>
              <w:t>Geen veiliger alternatief beschikbaar</w:t>
            </w:r>
          </w:p>
        </w:tc>
        <w:tc>
          <w:tcPr>
            <w:tcW w:type="dxa" w:w="2351"/>
          </w:tcPr>
          <w:p>
            <w:r/>
            <w:r>
              <w:rPr>
                <w:sz w:val="20"/>
              </w:rPr>
              <w:t>Substitutie mogelijk, niet direct</w:t>
            </w:r>
          </w:p>
        </w:tc>
        <w:tc>
          <w:tcPr>
            <w:tcW w:type="dxa" w:w="2351"/>
          </w:tcPr>
          <w:p>
            <w:r/>
            <w:r>
              <w:rPr>
                <w:sz w:val="20"/>
              </w:rPr>
              <w:t>Veilig alternatief beschikbaar</w:t>
            </w:r>
          </w:p>
        </w:tc>
      </w:tr>
    </w:tbl>
    <w:p>
      <w:r>
        <w:br w:type="page"/>
      </w:r>
    </w:p>
    <w:p>
      <w:pPr>
        <w:pStyle w:val="Heading1"/>
      </w:pPr>
      <w:r>
        <w:rPr>
          <w:color w:val="003366"/>
        </w:rPr>
        <w:t>8. Bestaande Stoffen — Phoenix Metals</w:t>
      </w:r>
    </w:p>
    <w:p>
      <w:r>
        <w:t>Onderstaand overzicht toont de gevaarlijke stoffen die actief in gebruik zijn bij Phoenix Metals, ontleend aan het Meta-Dossier §5 [6]. Deze stoffen zijn reeds geregistreerd in de stofinventaris (Element 2, Document #01) [5].</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Stof</w:t>
            </w:r>
          </w:p>
        </w:tc>
        <w:tc>
          <w:tcPr>
            <w:tcW w:type="dxa" w:w="1881"/>
          </w:tcPr>
          <w:p>
            <w:pPr>
              <w:jc w:val="center"/>
            </w:pPr>
            <w:r/>
            <w:r>
              <w:rPr>
                <w:b/>
                <w:color w:val="003366"/>
                <w:sz w:val="20"/>
              </w:rPr>
              <w:t>CAS-nummer</w:t>
            </w:r>
          </w:p>
        </w:tc>
        <w:tc>
          <w:tcPr>
            <w:tcW w:type="dxa" w:w="1881"/>
          </w:tcPr>
          <w:p>
            <w:pPr>
              <w:jc w:val="center"/>
            </w:pPr>
            <w:r/>
            <w:r>
              <w:rPr>
                <w:b/>
                <w:color w:val="003366"/>
                <w:sz w:val="20"/>
              </w:rPr>
              <w:t>Hoofdgevaar</w:t>
            </w:r>
          </w:p>
        </w:tc>
        <w:tc>
          <w:tcPr>
            <w:tcW w:type="dxa" w:w="1881"/>
          </w:tcPr>
          <w:p>
            <w:pPr>
              <w:jc w:val="center"/>
            </w:pPr>
            <w:r/>
            <w:r>
              <w:rPr>
                <w:b/>
                <w:color w:val="003366"/>
                <w:sz w:val="20"/>
              </w:rPr>
              <w:t>ADR-klasse</w:t>
            </w:r>
          </w:p>
        </w:tc>
        <w:tc>
          <w:tcPr>
            <w:tcW w:type="dxa" w:w="1881"/>
          </w:tcPr>
          <w:p>
            <w:pPr>
              <w:jc w:val="center"/>
            </w:pPr>
            <w:r/>
            <w:r>
              <w:rPr>
                <w:b/>
                <w:color w:val="003366"/>
                <w:sz w:val="20"/>
              </w:rPr>
              <w:t>CLP-classificatie</w:t>
            </w:r>
          </w:p>
        </w:tc>
      </w:tr>
      <w:tr>
        <w:tc>
          <w:tcPr>
            <w:tcW w:type="dxa" w:w="1881"/>
          </w:tcPr>
          <w:p>
            <w:r/>
            <w:r>
              <w:rPr>
                <w:sz w:val="20"/>
              </w:rPr>
              <w:t>Zwavelzuur (H₂SO₄)</w:t>
            </w:r>
          </w:p>
        </w:tc>
        <w:tc>
          <w:tcPr>
            <w:tcW w:type="dxa" w:w="1881"/>
          </w:tcPr>
          <w:p>
            <w:r/>
            <w:r>
              <w:rPr>
                <w:sz w:val="20"/>
              </w:rPr>
              <w:t>7664-93-9</w:t>
            </w:r>
          </w:p>
        </w:tc>
        <w:tc>
          <w:tcPr>
            <w:tcW w:type="dxa" w:w="1881"/>
          </w:tcPr>
          <w:p>
            <w:r/>
            <w:r>
              <w:rPr>
                <w:sz w:val="20"/>
              </w:rPr>
              <w:t>Corrosief</w:t>
            </w:r>
          </w:p>
        </w:tc>
        <w:tc>
          <w:tcPr>
            <w:tcW w:type="dxa" w:w="1881"/>
          </w:tcPr>
          <w:p>
            <w:r/>
            <w:r>
              <w:rPr>
                <w:sz w:val="20"/>
              </w:rPr>
              <w:t>8</w:t>
            </w:r>
          </w:p>
        </w:tc>
        <w:tc>
          <w:tcPr>
            <w:tcW w:type="dxa" w:w="1881"/>
          </w:tcPr>
          <w:p>
            <w:r/>
            <w:r>
              <w:rPr>
                <w:sz w:val="20"/>
              </w:rPr>
              <w:t>Skin Corr. 1A</w:t>
            </w:r>
          </w:p>
        </w:tc>
      </w:tr>
      <w:tr>
        <w:tc>
          <w:tcPr>
            <w:tcW w:type="dxa" w:w="1881"/>
          </w:tcPr>
          <w:p>
            <w:r/>
            <w:r>
              <w:rPr>
                <w:sz w:val="20"/>
              </w:rPr>
              <w:t>Natriumhydroxide (NaOH) 50%</w:t>
            </w:r>
          </w:p>
        </w:tc>
        <w:tc>
          <w:tcPr>
            <w:tcW w:type="dxa" w:w="1881"/>
          </w:tcPr>
          <w:p>
            <w:r/>
            <w:r>
              <w:rPr>
                <w:sz w:val="20"/>
              </w:rPr>
              <w:t>1310-73-2</w:t>
            </w:r>
          </w:p>
        </w:tc>
        <w:tc>
          <w:tcPr>
            <w:tcW w:type="dxa" w:w="1881"/>
          </w:tcPr>
          <w:p>
            <w:r/>
            <w:r>
              <w:rPr>
                <w:sz w:val="20"/>
              </w:rPr>
              <w:t>Corrosief</w:t>
            </w:r>
          </w:p>
        </w:tc>
        <w:tc>
          <w:tcPr>
            <w:tcW w:type="dxa" w:w="1881"/>
          </w:tcPr>
          <w:p>
            <w:r/>
            <w:r>
              <w:rPr>
                <w:sz w:val="20"/>
              </w:rPr>
              <w:t>8</w:t>
            </w:r>
          </w:p>
        </w:tc>
        <w:tc>
          <w:tcPr>
            <w:tcW w:type="dxa" w:w="1881"/>
          </w:tcPr>
          <w:p>
            <w:r/>
            <w:r>
              <w:rPr>
                <w:sz w:val="20"/>
              </w:rPr>
              <w:t>Skin Corr. 1A</w:t>
            </w:r>
          </w:p>
        </w:tc>
      </w:tr>
      <w:tr>
        <w:tc>
          <w:tcPr>
            <w:tcW w:type="dxa" w:w="1881"/>
          </w:tcPr>
          <w:p>
            <w:r/>
            <w:r>
              <w:rPr>
                <w:sz w:val="20"/>
              </w:rPr>
              <w:t>Vanadiumpentoxide (V₂O₅)</w:t>
            </w:r>
          </w:p>
        </w:tc>
        <w:tc>
          <w:tcPr>
            <w:tcW w:type="dxa" w:w="1881"/>
          </w:tcPr>
          <w:p>
            <w:r/>
            <w:r>
              <w:rPr>
                <w:sz w:val="20"/>
              </w:rPr>
              <w:t>1314-62-1</w:t>
            </w:r>
          </w:p>
        </w:tc>
        <w:tc>
          <w:tcPr>
            <w:tcW w:type="dxa" w:w="1881"/>
          </w:tcPr>
          <w:p>
            <w:r/>
            <w:r>
              <w:rPr>
                <w:sz w:val="20"/>
              </w:rPr>
              <w:t>Carcinogeen, Acuut toxisch</w:t>
            </w:r>
          </w:p>
        </w:tc>
        <w:tc>
          <w:tcPr>
            <w:tcW w:type="dxa" w:w="1881"/>
          </w:tcPr>
          <w:p>
            <w:r/>
            <w:r>
              <w:rPr>
                <w:sz w:val="20"/>
              </w:rPr>
              <w:t>—</w:t>
            </w:r>
          </w:p>
        </w:tc>
        <w:tc>
          <w:tcPr>
            <w:tcW w:type="dxa" w:w="1881"/>
          </w:tcPr>
          <w:p>
            <w:r/>
            <w:r>
              <w:rPr>
                <w:sz w:val="20"/>
              </w:rPr>
              <w:t>Carc. 1B, Acute Tox. 2</w:t>
            </w:r>
          </w:p>
        </w:tc>
      </w:tr>
      <w:tr>
        <w:tc>
          <w:tcPr>
            <w:tcW w:type="dxa" w:w="1881"/>
          </w:tcPr>
          <w:p>
            <w:r/>
            <w:r>
              <w:rPr>
                <w:sz w:val="20"/>
              </w:rPr>
              <w:t>Calciumoxide (CaO)</w:t>
            </w:r>
          </w:p>
        </w:tc>
        <w:tc>
          <w:tcPr>
            <w:tcW w:type="dxa" w:w="1881"/>
          </w:tcPr>
          <w:p>
            <w:r/>
            <w:r>
              <w:rPr>
                <w:sz w:val="20"/>
              </w:rPr>
              <w:t>1305-78-8</w:t>
            </w:r>
          </w:p>
        </w:tc>
        <w:tc>
          <w:tcPr>
            <w:tcW w:type="dxa" w:w="1881"/>
          </w:tcPr>
          <w:p>
            <w:r/>
            <w:r>
              <w:rPr>
                <w:sz w:val="20"/>
              </w:rPr>
              <w:t>Irriterend</w:t>
            </w:r>
          </w:p>
        </w:tc>
        <w:tc>
          <w:tcPr>
            <w:tcW w:type="dxa" w:w="1881"/>
          </w:tcPr>
          <w:p>
            <w:r/>
            <w:r>
              <w:rPr>
                <w:sz w:val="20"/>
              </w:rPr>
              <w:t>—</w:t>
            </w:r>
          </w:p>
        </w:tc>
        <w:tc>
          <w:tcPr>
            <w:tcW w:type="dxa" w:w="1881"/>
          </w:tcPr>
          <w:p>
            <w:r/>
            <w:r>
              <w:rPr>
                <w:sz w:val="20"/>
              </w:rPr>
              <w:t>Skin Irrit. 2, Eye Dam. 1</w:t>
            </w:r>
          </w:p>
        </w:tc>
      </w:tr>
    </w:tbl>
    <w:p>
      <w:r>
        <w:br w:type="page"/>
      </w:r>
    </w:p>
    <w:p>
      <w:pPr>
        <w:pStyle w:val="Heading1"/>
      </w:pPr>
      <w:r>
        <w:rPr>
          <w:color w:val="003366"/>
        </w:rPr>
        <w:t>9. Seveso III Drempelwaarden — Relevante Stoffen</w:t>
      </w:r>
    </w:p>
    <w:p>
      <w:r>
        <w:t>Phoenix Metals is aangemerkt als Seveso/BRZO inrichting (lagere drempelwaarde) [1][2]. Onderstaande tabel toont de drempelwaarden voor relevante stofcategorieën.</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Stof / Categorie</w:t>
            </w:r>
          </w:p>
        </w:tc>
        <w:tc>
          <w:tcPr>
            <w:tcW w:type="dxa" w:w="1881"/>
          </w:tcPr>
          <w:p>
            <w:pPr>
              <w:jc w:val="center"/>
            </w:pPr>
            <w:r/>
            <w:r>
              <w:rPr>
                <w:b/>
                <w:color w:val="003366"/>
                <w:sz w:val="20"/>
              </w:rPr>
              <w:t>CAS</w:t>
            </w:r>
          </w:p>
        </w:tc>
        <w:tc>
          <w:tcPr>
            <w:tcW w:type="dxa" w:w="1881"/>
          </w:tcPr>
          <w:p>
            <w:pPr>
              <w:jc w:val="center"/>
            </w:pPr>
            <w:r/>
            <w:r>
              <w:rPr>
                <w:b/>
                <w:color w:val="003366"/>
                <w:sz w:val="20"/>
              </w:rPr>
              <w:t>Seveso III categorie</w:t>
            </w:r>
          </w:p>
        </w:tc>
        <w:tc>
          <w:tcPr>
            <w:tcW w:type="dxa" w:w="1881"/>
          </w:tcPr>
          <w:p>
            <w:pPr>
              <w:jc w:val="center"/>
            </w:pPr>
            <w:r/>
            <w:r>
              <w:rPr>
                <w:b/>
                <w:color w:val="003366"/>
                <w:sz w:val="20"/>
              </w:rPr>
              <w:t>Lage drempel (ton)</w:t>
            </w:r>
          </w:p>
        </w:tc>
        <w:tc>
          <w:tcPr>
            <w:tcW w:type="dxa" w:w="1881"/>
          </w:tcPr>
          <w:p>
            <w:pPr>
              <w:jc w:val="center"/>
            </w:pPr>
            <w:r/>
            <w:r>
              <w:rPr>
                <w:b/>
                <w:color w:val="003366"/>
                <w:sz w:val="20"/>
              </w:rPr>
              <w:t>Hoge drempel (ton)</w:t>
            </w:r>
          </w:p>
        </w:tc>
      </w:tr>
      <w:tr>
        <w:tc>
          <w:tcPr>
            <w:tcW w:type="dxa" w:w="1881"/>
          </w:tcPr>
          <w:p>
            <w:r/>
            <w:r>
              <w:rPr>
                <w:sz w:val="20"/>
              </w:rPr>
              <w:t>H₂SO₄</w:t>
            </w:r>
          </w:p>
        </w:tc>
        <w:tc>
          <w:tcPr>
            <w:tcW w:type="dxa" w:w="1881"/>
          </w:tcPr>
          <w:p>
            <w:r/>
            <w:r>
              <w:rPr>
                <w:sz w:val="20"/>
              </w:rPr>
              <w:t>7664-93-9</w:t>
            </w:r>
          </w:p>
        </w:tc>
        <w:tc>
          <w:tcPr>
            <w:tcW w:type="dxa" w:w="1881"/>
          </w:tcPr>
          <w:p>
            <w:r/>
            <w:r>
              <w:rPr>
                <w:sz w:val="20"/>
              </w:rPr>
              <w:t>H2 (toxisch)</w:t>
            </w:r>
          </w:p>
        </w:tc>
        <w:tc>
          <w:tcPr>
            <w:tcW w:type="dxa" w:w="1881"/>
          </w:tcPr>
          <w:p>
            <w:r/>
            <w:r>
              <w:rPr>
                <w:sz w:val="20"/>
              </w:rPr>
              <w:t>50</w:t>
            </w:r>
          </w:p>
        </w:tc>
        <w:tc>
          <w:tcPr>
            <w:tcW w:type="dxa" w:w="1881"/>
          </w:tcPr>
          <w:p>
            <w:r/>
            <w:r>
              <w:rPr>
                <w:sz w:val="20"/>
              </w:rPr>
              <w:t>200</w:t>
            </w:r>
          </w:p>
        </w:tc>
      </w:tr>
      <w:tr>
        <w:tc>
          <w:tcPr>
            <w:tcW w:type="dxa" w:w="1881"/>
          </w:tcPr>
          <w:p>
            <w:r/>
            <w:r>
              <w:rPr>
                <w:sz w:val="20"/>
              </w:rPr>
              <w:t>NaOH</w:t>
            </w:r>
          </w:p>
        </w:tc>
        <w:tc>
          <w:tcPr>
            <w:tcW w:type="dxa" w:w="1881"/>
          </w:tcPr>
          <w:p>
            <w:r/>
            <w:r>
              <w:rPr>
                <w:sz w:val="20"/>
              </w:rPr>
              <w:t>1310-73-2</w:t>
            </w:r>
          </w:p>
        </w:tc>
        <w:tc>
          <w:tcPr>
            <w:tcW w:type="dxa" w:w="1881"/>
          </w:tcPr>
          <w:p>
            <w:r/>
            <w:r>
              <w:rPr>
                <w:sz w:val="20"/>
              </w:rPr>
              <w:t>—</w:t>
            </w:r>
          </w:p>
        </w:tc>
        <w:tc>
          <w:tcPr>
            <w:tcW w:type="dxa" w:w="1881"/>
          </w:tcPr>
          <w:p>
            <w:r/>
            <w:r>
              <w:rPr>
                <w:sz w:val="20"/>
              </w:rPr>
              <w:t>—</w:t>
            </w:r>
          </w:p>
        </w:tc>
        <w:tc>
          <w:tcPr>
            <w:tcW w:type="dxa" w:w="1881"/>
          </w:tcPr>
          <w:p>
            <w:r/>
            <w:r>
              <w:rPr>
                <w:sz w:val="20"/>
              </w:rPr>
              <w:t>—</w:t>
            </w:r>
          </w:p>
        </w:tc>
      </w:tr>
      <w:tr>
        <w:tc>
          <w:tcPr>
            <w:tcW w:type="dxa" w:w="1881"/>
          </w:tcPr>
          <w:p>
            <w:r/>
            <w:r>
              <w:rPr>
                <w:sz w:val="20"/>
              </w:rPr>
              <w:t>V₂O₅</w:t>
            </w:r>
          </w:p>
        </w:tc>
        <w:tc>
          <w:tcPr>
            <w:tcW w:type="dxa" w:w="1881"/>
          </w:tcPr>
          <w:p>
            <w:r/>
            <w:r>
              <w:rPr>
                <w:sz w:val="20"/>
              </w:rPr>
              <w:t>1314-62-1</w:t>
            </w:r>
          </w:p>
        </w:tc>
        <w:tc>
          <w:tcPr>
            <w:tcW w:type="dxa" w:w="1881"/>
          </w:tcPr>
          <w:p>
            <w:r/>
            <w:r>
              <w:rPr>
                <w:sz w:val="20"/>
              </w:rPr>
              <w:t>H7 (carcinogeen)</w:t>
            </w:r>
          </w:p>
        </w:tc>
        <w:tc>
          <w:tcPr>
            <w:tcW w:type="dxa" w:w="1881"/>
          </w:tcPr>
          <w:p>
            <w:r/>
            <w:r>
              <w:rPr>
                <w:sz w:val="20"/>
              </w:rPr>
              <w:t>0.5</w:t>
            </w:r>
          </w:p>
        </w:tc>
        <w:tc>
          <w:tcPr>
            <w:tcW w:type="dxa" w:w="1881"/>
          </w:tcPr>
          <w:p>
            <w:r/>
            <w:r>
              <w:rPr>
                <w:sz w:val="20"/>
              </w:rPr>
              <w:t>2</w:t>
            </w:r>
          </w:p>
        </w:tc>
      </w:tr>
      <w:tr>
        <w:tc>
          <w:tcPr>
            <w:tcW w:type="dxa" w:w="1881"/>
          </w:tcPr>
          <w:p>
            <w:r/>
            <w:r>
              <w:rPr>
                <w:sz w:val="20"/>
              </w:rPr>
              <w:t>CaO</w:t>
            </w:r>
          </w:p>
        </w:tc>
        <w:tc>
          <w:tcPr>
            <w:tcW w:type="dxa" w:w="1881"/>
          </w:tcPr>
          <w:p>
            <w:r/>
            <w:r>
              <w:rPr>
                <w:sz w:val="20"/>
              </w:rPr>
              <w:t>1305-78-8</w:t>
            </w:r>
          </w:p>
        </w:tc>
        <w:tc>
          <w:tcPr>
            <w:tcW w:type="dxa" w:w="1881"/>
          </w:tcPr>
          <w:p>
            <w:r/>
            <w:r>
              <w:rPr>
                <w:sz w:val="20"/>
              </w:rPr>
              <w:t>—</w:t>
            </w:r>
          </w:p>
        </w:tc>
        <w:tc>
          <w:tcPr>
            <w:tcW w:type="dxa" w:w="1881"/>
          </w:tcPr>
          <w:p>
            <w:r/>
            <w:r>
              <w:rPr>
                <w:sz w:val="20"/>
              </w:rPr>
              <w:t>—</w:t>
            </w:r>
          </w:p>
        </w:tc>
        <w:tc>
          <w:tcPr>
            <w:tcW w:type="dxa" w:w="1881"/>
          </w:tcPr>
          <w:p>
            <w:r/>
            <w:r>
              <w:rPr>
                <w:sz w:val="20"/>
              </w:rPr>
              <w:t>—</w:t>
            </w:r>
          </w:p>
        </w:tc>
      </w:tr>
      <w:tr>
        <w:tc>
          <w:tcPr>
            <w:tcW w:type="dxa" w:w="1881"/>
          </w:tcPr>
          <w:p>
            <w:r/>
            <w:r>
              <w:rPr>
                <w:sz w:val="20"/>
              </w:rPr>
              <w:t>Zeer giftige stoffen (Acute Tox. 1, 2)</w:t>
            </w:r>
          </w:p>
        </w:tc>
        <w:tc>
          <w:tcPr>
            <w:tcW w:type="dxa" w:w="1881"/>
          </w:tcPr>
          <w:p>
            <w:r/>
            <w:r>
              <w:rPr>
                <w:sz w:val="20"/>
              </w:rPr>
              <w:t>—</w:t>
            </w:r>
          </w:p>
        </w:tc>
        <w:tc>
          <w:tcPr>
            <w:tcW w:type="dxa" w:w="1881"/>
          </w:tcPr>
          <w:p>
            <w:r/>
            <w:r>
              <w:rPr>
                <w:sz w:val="20"/>
              </w:rPr>
              <w:t>H1 (zeer toxisch)</w:t>
            </w:r>
          </w:p>
        </w:tc>
        <w:tc>
          <w:tcPr>
            <w:tcW w:type="dxa" w:w="1881"/>
          </w:tcPr>
          <w:p>
            <w:r/>
            <w:r>
              <w:rPr>
                <w:sz w:val="20"/>
              </w:rPr>
              <w:t>5</w:t>
            </w:r>
          </w:p>
        </w:tc>
        <w:tc>
          <w:tcPr>
            <w:tcW w:type="dxa" w:w="1881"/>
          </w:tcPr>
          <w:p>
            <w:r/>
            <w:r>
              <w:rPr>
                <w:sz w:val="20"/>
              </w:rPr>
              <w:t>20</w:t>
            </w:r>
          </w:p>
        </w:tc>
      </w:tr>
      <w:tr>
        <w:tc>
          <w:tcPr>
            <w:tcW w:type="dxa" w:w="1881"/>
          </w:tcPr>
          <w:p>
            <w:r/>
            <w:r>
              <w:rPr>
                <w:sz w:val="20"/>
              </w:rPr>
              <w:t>Giftige stoffen (Acute Tox. 3)</w:t>
            </w:r>
          </w:p>
        </w:tc>
        <w:tc>
          <w:tcPr>
            <w:tcW w:type="dxa" w:w="1881"/>
          </w:tcPr>
          <w:p>
            <w:r/>
            <w:r>
              <w:rPr>
                <w:sz w:val="20"/>
              </w:rPr>
              <w:t>—</w:t>
            </w:r>
          </w:p>
        </w:tc>
        <w:tc>
          <w:tcPr>
            <w:tcW w:type="dxa" w:w="1881"/>
          </w:tcPr>
          <w:p>
            <w:r/>
            <w:r>
              <w:rPr>
                <w:sz w:val="20"/>
              </w:rPr>
              <w:t>H2 (toxisch)</w:t>
            </w:r>
          </w:p>
        </w:tc>
        <w:tc>
          <w:tcPr>
            <w:tcW w:type="dxa" w:w="1881"/>
          </w:tcPr>
          <w:p>
            <w:r/>
            <w:r>
              <w:rPr>
                <w:sz w:val="20"/>
              </w:rPr>
              <w:t>50</w:t>
            </w:r>
          </w:p>
        </w:tc>
        <w:tc>
          <w:tcPr>
            <w:tcW w:type="dxa" w:w="1881"/>
          </w:tcPr>
          <w:p>
            <w:r/>
            <w:r>
              <w:rPr>
                <w:sz w:val="20"/>
              </w:rPr>
              <w:t>200</w:t>
            </w:r>
          </w:p>
        </w:tc>
      </w:tr>
    </w:tbl>
    <w:p/>
    <w:p>
      <w:r>
        <w:rPr>
          <w:b/>
        </w:rPr>
        <w:t xml:space="preserve">Opmerking: </w:t>
      </w:r>
      <w:r>
        <w:t>De cumulatieve Seveso-drempel wordt berekend conform bijlage I, deel 2 van de Seveso III richtlijn [2]. Bij elke nieuwe stofaanvraag moet de cumulatieve score opnieuw worden bepaald.</w:t>
      </w:r>
    </w:p>
    <w:p>
      <w:r>
        <w:br w:type="page"/>
      </w:r>
    </w:p>
    <w:p>
      <w:pPr>
        <w:pStyle w:val="Heading1"/>
      </w:pPr>
      <w:r>
        <w:rPr>
          <w:color w:val="003366"/>
        </w:rPr>
        <w:t>10. PGS 15 Opslagklassen</w:t>
      </w:r>
    </w:p>
    <w:p>
      <w:r>
        <w:t>Onderstaand overzicht toont de PGS 15 opslagklasse-indeling voor de bij Phoenix Metals aanwezige gevaarlijke stoffen [4].</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pPr>
              <w:jc w:val="center"/>
            </w:pPr>
            <w:r/>
            <w:r>
              <w:rPr>
                <w:b/>
                <w:color w:val="003366"/>
                <w:sz w:val="20"/>
              </w:rPr>
              <w:t>Stof</w:t>
            </w:r>
          </w:p>
        </w:tc>
        <w:tc>
          <w:tcPr>
            <w:tcW w:type="dxa" w:w="2351"/>
          </w:tcPr>
          <w:p>
            <w:pPr>
              <w:jc w:val="center"/>
            </w:pPr>
            <w:r/>
            <w:r>
              <w:rPr>
                <w:b/>
                <w:color w:val="003366"/>
                <w:sz w:val="20"/>
              </w:rPr>
              <w:t>CAS</w:t>
            </w:r>
          </w:p>
        </w:tc>
        <w:tc>
          <w:tcPr>
            <w:tcW w:type="dxa" w:w="2351"/>
          </w:tcPr>
          <w:p>
            <w:pPr>
              <w:jc w:val="center"/>
            </w:pPr>
            <w:r/>
            <w:r>
              <w:rPr>
                <w:b/>
                <w:color w:val="003366"/>
                <w:sz w:val="20"/>
              </w:rPr>
              <w:t>PGS 15 Opslagklasse</w:t>
            </w:r>
          </w:p>
        </w:tc>
        <w:tc>
          <w:tcPr>
            <w:tcW w:type="dxa" w:w="2351"/>
          </w:tcPr>
          <w:p>
            <w:pPr>
              <w:jc w:val="center"/>
            </w:pPr>
            <w:r/>
            <w:r>
              <w:rPr>
                <w:b/>
                <w:color w:val="003366"/>
                <w:sz w:val="20"/>
              </w:rPr>
              <w:t>Separatie-eis</w:t>
            </w:r>
          </w:p>
        </w:tc>
      </w:tr>
      <w:tr>
        <w:tc>
          <w:tcPr>
            <w:tcW w:type="dxa" w:w="2351"/>
          </w:tcPr>
          <w:p>
            <w:r/>
            <w:r>
              <w:rPr>
                <w:sz w:val="20"/>
              </w:rPr>
              <w:t>H₂SO₄</w:t>
            </w:r>
          </w:p>
        </w:tc>
        <w:tc>
          <w:tcPr>
            <w:tcW w:type="dxa" w:w="2351"/>
          </w:tcPr>
          <w:p>
            <w:r/>
            <w:r>
              <w:rPr>
                <w:sz w:val="20"/>
              </w:rPr>
              <w:t>7664-93-9</w:t>
            </w:r>
          </w:p>
        </w:tc>
        <w:tc>
          <w:tcPr>
            <w:tcW w:type="dxa" w:w="2351"/>
          </w:tcPr>
          <w:p>
            <w:r/>
            <w:r>
              <w:rPr>
                <w:sz w:val="20"/>
              </w:rPr>
              <w:t>Opslagklasse 8 (Corrosieve stoffen)</w:t>
            </w:r>
          </w:p>
        </w:tc>
        <w:tc>
          <w:tcPr>
            <w:tcW w:type="dxa" w:w="2351"/>
          </w:tcPr>
          <w:p>
            <w:r/>
            <w:r>
              <w:rPr>
                <w:sz w:val="20"/>
              </w:rPr>
              <w:t>Gescheiden van basen (NaOH) en brandbare stoffen</w:t>
            </w:r>
          </w:p>
        </w:tc>
      </w:tr>
      <w:tr>
        <w:tc>
          <w:tcPr>
            <w:tcW w:type="dxa" w:w="2351"/>
          </w:tcPr>
          <w:p>
            <w:r/>
            <w:r>
              <w:rPr>
                <w:sz w:val="20"/>
              </w:rPr>
              <w:t>NaOH 50%</w:t>
            </w:r>
          </w:p>
        </w:tc>
        <w:tc>
          <w:tcPr>
            <w:tcW w:type="dxa" w:w="2351"/>
          </w:tcPr>
          <w:p>
            <w:r/>
            <w:r>
              <w:rPr>
                <w:sz w:val="20"/>
              </w:rPr>
              <w:t>1310-73-2</w:t>
            </w:r>
          </w:p>
        </w:tc>
        <w:tc>
          <w:tcPr>
            <w:tcW w:type="dxa" w:w="2351"/>
          </w:tcPr>
          <w:p>
            <w:r/>
            <w:r>
              <w:rPr>
                <w:sz w:val="20"/>
              </w:rPr>
              <w:t>Opslagklasse 8 (Corrosieve stoffen)</w:t>
            </w:r>
          </w:p>
        </w:tc>
        <w:tc>
          <w:tcPr>
            <w:tcW w:type="dxa" w:w="2351"/>
          </w:tcPr>
          <w:p>
            <w:r/>
            <w:r>
              <w:rPr>
                <w:sz w:val="20"/>
              </w:rPr>
              <w:t>Gescheiden van zuren (H₂SO₄)</w:t>
            </w:r>
          </w:p>
        </w:tc>
      </w:tr>
      <w:tr>
        <w:tc>
          <w:tcPr>
            <w:tcW w:type="dxa" w:w="2351"/>
          </w:tcPr>
          <w:p>
            <w:r/>
            <w:r>
              <w:rPr>
                <w:sz w:val="20"/>
              </w:rPr>
              <w:t>V₂O₅</w:t>
            </w:r>
          </w:p>
        </w:tc>
        <w:tc>
          <w:tcPr>
            <w:tcW w:type="dxa" w:w="2351"/>
          </w:tcPr>
          <w:p>
            <w:r/>
            <w:r>
              <w:rPr>
                <w:sz w:val="20"/>
              </w:rPr>
              <w:t>1314-62-1</w:t>
            </w:r>
          </w:p>
        </w:tc>
        <w:tc>
          <w:tcPr>
            <w:tcW w:type="dxa" w:w="2351"/>
          </w:tcPr>
          <w:p>
            <w:r/>
            <w:r>
              <w:rPr>
                <w:sz w:val="20"/>
              </w:rPr>
              <w:t>Opslagklasse 6.1 (Giftige stoffen)</w:t>
            </w:r>
          </w:p>
        </w:tc>
        <w:tc>
          <w:tcPr>
            <w:tcW w:type="dxa" w:w="2351"/>
          </w:tcPr>
          <w:p>
            <w:r/>
            <w:r>
              <w:rPr>
                <w:sz w:val="20"/>
              </w:rPr>
              <w:t>Afzonderlijke opslag, gesloten systeem, beperkte toegang</w:t>
            </w:r>
          </w:p>
        </w:tc>
      </w:tr>
      <w:tr>
        <w:tc>
          <w:tcPr>
            <w:tcW w:type="dxa" w:w="2351"/>
          </w:tcPr>
          <w:p>
            <w:r/>
            <w:r>
              <w:rPr>
                <w:sz w:val="20"/>
              </w:rPr>
              <w:t>CaO</w:t>
            </w:r>
          </w:p>
        </w:tc>
        <w:tc>
          <w:tcPr>
            <w:tcW w:type="dxa" w:w="2351"/>
          </w:tcPr>
          <w:p>
            <w:r/>
            <w:r>
              <w:rPr>
                <w:sz w:val="20"/>
              </w:rPr>
              <w:t>1305-78-8</w:t>
            </w:r>
          </w:p>
        </w:tc>
        <w:tc>
          <w:tcPr>
            <w:tcW w:type="dxa" w:w="2351"/>
          </w:tcPr>
          <w:p>
            <w:r/>
            <w:r>
              <w:rPr>
                <w:sz w:val="20"/>
              </w:rPr>
              <w:t>Opslagklasse 8 (Corrosieve stoffen)</w:t>
            </w:r>
          </w:p>
        </w:tc>
        <w:tc>
          <w:tcPr>
            <w:tcW w:type="dxa" w:w="2351"/>
          </w:tcPr>
          <w:p>
            <w:r/>
            <w:r>
              <w:rPr>
                <w:sz w:val="20"/>
              </w:rPr>
              <w:t>Droge opslag, gescheiden van waterreactieve stoffen</w:t>
            </w:r>
          </w:p>
        </w:tc>
      </w:tr>
    </w:tbl>
    <w:p>
      <w:r>
        <w:br w:type="page"/>
      </w:r>
    </w:p>
    <w:p>
      <w:pPr>
        <w:pStyle w:val="Heading1"/>
      </w:pPr>
      <w:r>
        <w:rPr>
          <w:color w:val="003366"/>
        </w:rPr>
        <w:t>11. Bronnenlijst</w:t>
      </w:r>
    </w:p>
    <w:p>
      <w:pPr>
        <w:spacing w:after="80"/>
      </w:pPr>
      <w:r>
        <w:t>[1] BRZO 2015 (Besluit risico's zware ongevallen 2015), Artikel 7 — Element IV: Controle op de exploitatie</w:t>
      </w:r>
    </w:p>
    <w:p>
      <w:pPr>
        <w:spacing w:after="80"/>
      </w:pPr>
      <w:r>
        <w:t>[2] Seveso III Richtlijn (2012/18/EU), Artikel 12 en Bijlage I — Drempelwaarden gevaarlijke stoffen</w:t>
      </w:r>
    </w:p>
    <w:p>
      <w:pPr>
        <w:spacing w:after="80"/>
      </w:pPr>
      <w:r>
        <w:t>[3] CLP Verordening (EG) Nr. 1272/2008 — Classificatie, labeling en verpakking van stoffen en mengsels</w:t>
      </w:r>
    </w:p>
    <w:p>
      <w:pPr>
        <w:spacing w:after="80"/>
      </w:pPr>
      <w:r>
        <w:t>[4] PGS 15:2025 — Publicatiereeks Gevaarlijke Stoffen: Opslag van gevaarlijke stoffen in verpakking</w:t>
      </w:r>
    </w:p>
    <w:p>
      <w:pPr>
        <w:spacing w:after="80"/>
      </w:pPr>
      <w:r>
        <w:t>[5] VBS Element 2, Document #01 — Stofinventaris Phoenix Metals</w:t>
      </w:r>
    </w:p>
    <w:p>
      <w:pPr>
        <w:spacing w:after="80"/>
      </w:pPr>
      <w:r>
        <w:t>[6] Meta-Dossier VBS Element 3 v1.1, 2026-04-29 — Single Source of Truth</w:t>
      </w:r>
    </w:p>
    <w:p>
      <w:r>
        <w:br w:type="page"/>
      </w:r>
    </w:p>
    <w:p>
      <w:pPr>
        <w:pStyle w:val="Heading1"/>
      </w:pPr>
      <w:r>
        <w:rPr>
          <w:color w:val="003366"/>
        </w:rPr>
        <w:t>12. TierVerify Log</w:t>
      </w:r>
    </w:p>
    <w:p>
      <w:r>
        <w:t>Documentatie van verificatiestappen uitgevoerd door HQ_04 Technical Writer.</w:t>
      </w:r>
    </w:p>
    <w:tbl>
      <w:tblPr>
        <w:tblStyle w:val="LightGrid-Accent1"/>
        <w:tblW w:type="auto" w:w="0"/>
        <w:jc w:val="center"/>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03366"/>
                <w:sz w:val="20"/>
              </w:rPr>
              <w:t>#</w:t>
            </w:r>
          </w:p>
        </w:tc>
        <w:tc>
          <w:tcPr>
            <w:tcW w:type="dxa" w:w="1881"/>
          </w:tcPr>
          <w:p>
            <w:pPr>
              <w:jc w:val="center"/>
            </w:pPr>
            <w:r/>
            <w:r>
              <w:rPr>
                <w:b/>
                <w:color w:val="003366"/>
                <w:sz w:val="20"/>
              </w:rPr>
              <w:t>Controle</w:t>
            </w:r>
          </w:p>
        </w:tc>
        <w:tc>
          <w:tcPr>
            <w:tcW w:type="dxa" w:w="1881"/>
          </w:tcPr>
          <w:p>
            <w:pPr>
              <w:jc w:val="center"/>
            </w:pPr>
            <w:r/>
            <w:r>
              <w:rPr>
                <w:b/>
                <w:color w:val="003366"/>
                <w:sz w:val="20"/>
              </w:rPr>
              <w:t>Bron</w:t>
            </w:r>
          </w:p>
        </w:tc>
        <w:tc>
          <w:tcPr>
            <w:tcW w:type="dxa" w:w="1881"/>
          </w:tcPr>
          <w:p>
            <w:pPr>
              <w:jc w:val="center"/>
            </w:pPr>
            <w:r/>
            <w:r>
              <w:rPr>
                <w:b/>
                <w:color w:val="003366"/>
                <w:sz w:val="20"/>
              </w:rPr>
              <w:t>Resultaat</w:t>
            </w:r>
          </w:p>
        </w:tc>
        <w:tc>
          <w:tcPr>
            <w:tcW w:type="dxa" w:w="1881"/>
          </w:tcPr>
          <w:p>
            <w:pPr>
              <w:jc w:val="center"/>
            </w:pPr>
            <w:r/>
            <w:r>
              <w:rPr>
                <w:b/>
                <w:color w:val="003366"/>
                <w:sz w:val="20"/>
              </w:rPr>
              <w:t>Datum</w:t>
            </w:r>
          </w:p>
        </w:tc>
      </w:tr>
      <w:tr>
        <w:tc>
          <w:tcPr>
            <w:tcW w:type="dxa" w:w="1881"/>
          </w:tcPr>
          <w:p>
            <w:r/>
            <w:r>
              <w:rPr>
                <w:sz w:val="20"/>
              </w:rPr>
              <w:t>1</w:t>
            </w:r>
          </w:p>
        </w:tc>
        <w:tc>
          <w:tcPr>
            <w:tcW w:type="dxa" w:w="1881"/>
          </w:tcPr>
          <w:p>
            <w:r/>
            <w:r>
              <w:rPr>
                <w:sz w:val="20"/>
              </w:rPr>
              <w:t>Procedurecode PE-240-01 geverifieerd</w:t>
            </w:r>
          </w:p>
        </w:tc>
        <w:tc>
          <w:tcPr>
            <w:tcW w:type="dxa" w:w="1881"/>
          </w:tcPr>
          <w:p>
            <w:r/>
            <w:r>
              <w:rPr>
                <w:sz w:val="20"/>
              </w:rPr>
              <w:t>Meta-Dossier §2.3</w:t>
            </w:r>
          </w:p>
        </w:tc>
        <w:tc>
          <w:tcPr>
            <w:tcW w:type="dxa" w:w="1881"/>
          </w:tcPr>
          <w:p>
            <w:r/>
            <w:r>
              <w:rPr>
                <w:sz w:val="20"/>
              </w:rPr>
              <w:t>✅ Overeenkomstig</w:t>
            </w:r>
          </w:p>
        </w:tc>
        <w:tc>
          <w:tcPr>
            <w:tcW w:type="dxa" w:w="1881"/>
          </w:tcPr>
          <w:p>
            <w:r/>
            <w:r>
              <w:rPr>
                <w:sz w:val="20"/>
              </w:rPr>
              <w:t>2026-04-29</w:t>
            </w:r>
          </w:p>
        </w:tc>
      </w:tr>
      <w:tr>
        <w:tc>
          <w:tcPr>
            <w:tcW w:type="dxa" w:w="1881"/>
          </w:tcPr>
          <w:p>
            <w:r/>
            <w:r>
              <w:rPr>
                <w:sz w:val="20"/>
              </w:rPr>
              <w:t>2</w:t>
            </w:r>
          </w:p>
        </w:tc>
        <w:tc>
          <w:tcPr>
            <w:tcW w:type="dxa" w:w="1881"/>
          </w:tcPr>
          <w:p>
            <w:r/>
            <w:r>
              <w:rPr>
                <w:sz w:val="20"/>
              </w:rPr>
              <w:t>CLP-classificaties gecontroleerd</w:t>
            </w:r>
          </w:p>
        </w:tc>
        <w:tc>
          <w:tcPr>
            <w:tcW w:type="dxa" w:w="1881"/>
          </w:tcPr>
          <w:p>
            <w:r/>
            <w:r>
              <w:rPr>
                <w:sz w:val="20"/>
              </w:rPr>
              <w:t>Meta-Dossier §5</w:t>
            </w:r>
          </w:p>
        </w:tc>
        <w:tc>
          <w:tcPr>
            <w:tcW w:type="dxa" w:w="1881"/>
          </w:tcPr>
          <w:p>
            <w:r/>
            <w:r>
              <w:rPr>
                <w:sz w:val="20"/>
              </w:rPr>
              <w:t>✅ Overeenkomstig</w:t>
            </w:r>
          </w:p>
        </w:tc>
        <w:tc>
          <w:tcPr>
            <w:tcW w:type="dxa" w:w="1881"/>
          </w:tcPr>
          <w:p>
            <w:r/>
            <w:r>
              <w:rPr>
                <w:sz w:val="20"/>
              </w:rPr>
              <w:t>2026-04-29</w:t>
            </w:r>
          </w:p>
        </w:tc>
      </w:tr>
      <w:tr>
        <w:tc>
          <w:tcPr>
            <w:tcW w:type="dxa" w:w="1881"/>
          </w:tcPr>
          <w:p>
            <w:r/>
            <w:r>
              <w:rPr>
                <w:sz w:val="20"/>
              </w:rPr>
              <w:t>3</w:t>
            </w:r>
          </w:p>
        </w:tc>
        <w:tc>
          <w:tcPr>
            <w:tcW w:type="dxa" w:w="1881"/>
          </w:tcPr>
          <w:p>
            <w:r/>
            <w:r>
              <w:rPr>
                <w:sz w:val="20"/>
              </w:rPr>
              <w:t>Seveso drempelwaarden geverifieerd</w:t>
            </w:r>
          </w:p>
        </w:tc>
        <w:tc>
          <w:tcPr>
            <w:tcW w:type="dxa" w:w="1881"/>
          </w:tcPr>
          <w:p>
            <w:r/>
            <w:r>
              <w:rPr>
                <w:sz w:val="20"/>
              </w:rPr>
              <w:t>Seveso III Bijlage I</w:t>
            </w:r>
          </w:p>
        </w:tc>
        <w:tc>
          <w:tcPr>
            <w:tcW w:type="dxa" w:w="1881"/>
          </w:tcPr>
          <w:p>
            <w:r/>
            <w:r>
              <w:rPr>
                <w:sz w:val="20"/>
              </w:rPr>
              <w:t>✅ Overeenkomstig</w:t>
            </w:r>
          </w:p>
        </w:tc>
        <w:tc>
          <w:tcPr>
            <w:tcW w:type="dxa" w:w="1881"/>
          </w:tcPr>
          <w:p>
            <w:r/>
            <w:r>
              <w:rPr>
                <w:sz w:val="20"/>
              </w:rPr>
              <w:t>2026-04-29</w:t>
            </w:r>
          </w:p>
        </w:tc>
      </w:tr>
      <w:tr>
        <w:tc>
          <w:tcPr>
            <w:tcW w:type="dxa" w:w="1881"/>
          </w:tcPr>
          <w:p>
            <w:r/>
            <w:r>
              <w:rPr>
                <w:sz w:val="20"/>
              </w:rPr>
              <w:t>4</w:t>
            </w:r>
          </w:p>
        </w:tc>
        <w:tc>
          <w:tcPr>
            <w:tcW w:type="dxa" w:w="1881"/>
          </w:tcPr>
          <w:p>
            <w:r/>
            <w:r>
              <w:rPr>
                <w:sz w:val="20"/>
              </w:rPr>
              <w:t>PGS 15 opslagklassen getoetst</w:t>
            </w:r>
          </w:p>
        </w:tc>
        <w:tc>
          <w:tcPr>
            <w:tcW w:type="dxa" w:w="1881"/>
          </w:tcPr>
          <w:p>
            <w:r/>
            <w:r>
              <w:rPr>
                <w:sz w:val="20"/>
              </w:rPr>
              <w:t>PGS 15:2025</w:t>
            </w:r>
          </w:p>
        </w:tc>
        <w:tc>
          <w:tcPr>
            <w:tcW w:type="dxa" w:w="1881"/>
          </w:tcPr>
          <w:p>
            <w:r/>
            <w:r>
              <w:rPr>
                <w:sz w:val="20"/>
              </w:rPr>
              <w:t>✅ Overeenkomstig</w:t>
            </w:r>
          </w:p>
        </w:tc>
        <w:tc>
          <w:tcPr>
            <w:tcW w:type="dxa" w:w="1881"/>
          </w:tcPr>
          <w:p>
            <w:r/>
            <w:r>
              <w:rPr>
                <w:sz w:val="20"/>
              </w:rPr>
              <w:t>2026-04-29</w:t>
            </w:r>
          </w:p>
        </w:tc>
      </w:tr>
      <w:tr>
        <w:tc>
          <w:tcPr>
            <w:tcW w:type="dxa" w:w="1881"/>
          </w:tcPr>
          <w:p>
            <w:r/>
            <w:r>
              <w:rPr>
                <w:sz w:val="20"/>
              </w:rPr>
              <w:t>5</w:t>
            </w:r>
          </w:p>
        </w:tc>
        <w:tc>
          <w:tcPr>
            <w:tcW w:type="dxa" w:w="1881"/>
          </w:tcPr>
          <w:p>
            <w:r/>
            <w:r>
              <w:rPr>
                <w:sz w:val="20"/>
              </w:rPr>
              <w:t>Stofinventaris-koppeling (Element 2)</w:t>
            </w:r>
          </w:p>
        </w:tc>
        <w:tc>
          <w:tcPr>
            <w:tcW w:type="dxa" w:w="1881"/>
          </w:tcPr>
          <w:p>
            <w:r/>
            <w:r>
              <w:rPr>
                <w:sz w:val="20"/>
              </w:rPr>
              <w:t>Meta-Dossier §3</w:t>
            </w:r>
          </w:p>
        </w:tc>
        <w:tc>
          <w:tcPr>
            <w:tcW w:type="dxa" w:w="1881"/>
          </w:tcPr>
          <w:p>
            <w:r/>
            <w:r>
              <w:rPr>
                <w:sz w:val="20"/>
              </w:rPr>
              <w:t>✅ Referentie opgenomen</w:t>
            </w:r>
          </w:p>
        </w:tc>
        <w:tc>
          <w:tcPr>
            <w:tcW w:type="dxa" w:w="1881"/>
          </w:tcPr>
          <w:p>
            <w:r/>
            <w:r>
              <w:rPr>
                <w:sz w:val="20"/>
              </w:rPr>
              <w:t>2026-04-29</w:t>
            </w:r>
          </w:p>
        </w:tc>
      </w:tr>
      <w:tr>
        <w:tc>
          <w:tcPr>
            <w:tcW w:type="dxa" w:w="1881"/>
          </w:tcPr>
          <w:p>
            <w:r/>
            <w:r>
              <w:rPr>
                <w:sz w:val="20"/>
              </w:rPr>
              <w:t>6</w:t>
            </w:r>
          </w:p>
        </w:tc>
        <w:tc>
          <w:tcPr>
            <w:tcW w:type="dxa" w:w="1881"/>
          </w:tcPr>
          <w:p>
            <w:r/>
            <w:r>
              <w:rPr>
                <w:sz w:val="20"/>
              </w:rPr>
              <w:t>BRZO 2015 Art. 7 compliantie</w:t>
            </w:r>
          </w:p>
        </w:tc>
        <w:tc>
          <w:tcPr>
            <w:tcW w:type="dxa" w:w="1881"/>
          </w:tcPr>
          <w:p>
            <w:r/>
            <w:r>
              <w:rPr>
                <w:sz w:val="20"/>
              </w:rPr>
              <w:t>Meta-Dossier §6</w:t>
            </w:r>
          </w:p>
        </w:tc>
        <w:tc>
          <w:tcPr>
            <w:tcW w:type="dxa" w:w="1881"/>
          </w:tcPr>
          <w:p>
            <w:r/>
            <w:r>
              <w:rPr>
                <w:sz w:val="20"/>
              </w:rPr>
              <w:t>✅ Volledig gedekt</w:t>
            </w:r>
          </w:p>
        </w:tc>
        <w:tc>
          <w:tcPr>
            <w:tcW w:type="dxa" w:w="1881"/>
          </w:tcPr>
          <w:p>
            <w:r/>
            <w:r>
              <w:rPr>
                <w:sz w:val="20"/>
              </w:rPr>
              <w:t>2026-04-29</w:t>
            </w:r>
          </w:p>
        </w:tc>
      </w:tr>
      <w:tr>
        <w:tc>
          <w:tcPr>
            <w:tcW w:type="dxa" w:w="1881"/>
          </w:tcPr>
          <w:p>
            <w:r/>
            <w:r>
              <w:rPr>
                <w:sz w:val="20"/>
              </w:rPr>
              <w:t>7</w:t>
            </w:r>
          </w:p>
        </w:tc>
        <w:tc>
          <w:tcPr>
            <w:tcW w:type="dxa" w:w="1881"/>
          </w:tcPr>
          <w:p>
            <w:r/>
            <w:r>
              <w:rPr>
                <w:sz w:val="20"/>
              </w:rPr>
              <w:t>Bronverwijzingen compleet</w:t>
            </w:r>
          </w:p>
        </w:tc>
        <w:tc>
          <w:tcPr>
            <w:tcW w:type="dxa" w:w="1881"/>
          </w:tcPr>
          <w:p>
            <w:r/>
            <w:r>
              <w:rPr>
                <w:sz w:val="20"/>
              </w:rPr>
              <w:t>MASTER_STYLEGUIDE §1.8</w:t>
            </w:r>
          </w:p>
        </w:tc>
        <w:tc>
          <w:tcPr>
            <w:tcW w:type="dxa" w:w="1881"/>
          </w:tcPr>
          <w:p>
            <w:r/>
            <w:r>
              <w:rPr>
                <w:sz w:val="20"/>
              </w:rPr>
              <w:t>✅ [1] t/m [6]</w:t>
            </w:r>
          </w:p>
        </w:tc>
        <w:tc>
          <w:tcPr>
            <w:tcW w:type="dxa" w:w="1881"/>
          </w:tcPr>
          <w:p>
            <w:r/>
            <w:r>
              <w:rPr>
                <w:sz w:val="20"/>
              </w:rPr>
              <w:t>2026-04-29</w:t>
            </w:r>
          </w:p>
        </w:tc>
      </w:tr>
      <w:tr>
        <w:tc>
          <w:tcPr>
            <w:tcW w:type="dxa" w:w="1881"/>
          </w:tcPr>
          <w:p>
            <w:r/>
            <w:r>
              <w:rPr>
                <w:sz w:val="20"/>
              </w:rPr>
              <w:t>8</w:t>
            </w:r>
          </w:p>
        </w:tc>
        <w:tc>
          <w:tcPr>
            <w:tcW w:type="dxa" w:w="1881"/>
          </w:tcPr>
          <w:p>
            <w:r/>
            <w:r>
              <w:rPr>
                <w:sz w:val="20"/>
              </w:rPr>
              <w:t>Documentheader volgens §2.1</w:t>
            </w:r>
          </w:p>
        </w:tc>
        <w:tc>
          <w:tcPr>
            <w:tcW w:type="dxa" w:w="1881"/>
          </w:tcPr>
          <w:p>
            <w:r/>
            <w:r>
              <w:rPr>
                <w:sz w:val="20"/>
              </w:rPr>
              <w:t>MASTER_STYLEGUIDE §2.1</w:t>
            </w:r>
          </w:p>
        </w:tc>
        <w:tc>
          <w:tcPr>
            <w:tcW w:type="dxa" w:w="1881"/>
          </w:tcPr>
          <w:p>
            <w:r/>
            <w:r>
              <w:rPr>
                <w:sz w:val="20"/>
              </w:rPr>
              <w:t>✅ Aanwezig op voorblad</w:t>
            </w:r>
          </w:p>
        </w:tc>
        <w:tc>
          <w:tcPr>
            <w:tcW w:type="dxa" w:w="1881"/>
          </w:tcPr>
          <w:p>
            <w:r/>
            <w:r>
              <w:rPr>
                <w:sz w:val="20"/>
              </w:rPr>
              <w:t>2026-04-29</w:t>
            </w:r>
          </w:p>
        </w:tc>
      </w:tr>
    </w:tbl>
    <w:p>
      <w:r>
        <w:rPr>
          <w:b/>
        </w:rPr>
        <w:br/>
        <w:t xml:space="preserve">Verifier: </w:t>
      </w:r>
      <w:r>
        <w:t>HQ_04 Technical Writer | Datum: 2026-04-29 | Status: VERIFIED</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sz w:val="18"/>
        <w:color w:val="66666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left"/>
    </w:pP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