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Procedure Heet Werk en Vonken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3 — Controle op de Exploitatie</w:t>
        <w:br/>
        <w:t>Document #2 — PE-290-01-11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2026-PM-VBS-Element3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Bedrijf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Phoenix Metals — Vanadiumproductie uit Staalslakken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Locatie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IJmuiden (Seveso/BRZO inrichting)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Procedure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HQ_01 — HSEQ Specialist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29 april 2026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Final</w:t>
            </w:r>
          </w:p>
        </w:tc>
      </w:tr>
    </w:tbl>
    <w:p>
      <w:pPr>
        <w:jc w:val="center"/>
      </w:pPr>
      <w:r>
        <w:rPr>
          <w:rFonts w:ascii="Calibri" w:hAnsi="Calibri"/>
          <w:i/>
          <w:color w:val="003366"/>
          <w:sz w:val="20"/>
        </w:rPr>
        <w:t>JvG Consultancy | Safety • Governance • Advisory</w:t>
      </w:r>
    </w:p>
    <w:p>
      <w:r>
        <w:br w:type="page"/>
      </w:r>
    </w:p>
    <w:p>
      <w:pPr>
        <w:pStyle w:val="Heading1"/>
      </w:pPr>
      <w: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0.1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2026-04-25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Concept opgesteld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 — VBS Element 3 inlevering</w:t>
            </w:r>
          </w:p>
        </w:tc>
      </w:tr>
    </w:tbl>
    <w:p/>
    <w:p>
      <w:r>
        <w:rPr>
          <w:rFonts w:ascii="Calibri" w:hAnsi="Calibri"/>
          <w:b/>
        </w:rPr>
        <w:t>Goedkeuring: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Plant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1. Doel en Scope</w:t>
      </w:r>
    </w:p>
    <w:p>
      <w:pPr>
        <w:pStyle w:val="Heading2"/>
      </w:pPr>
      <w:r>
        <w:t>1.1 Doel</w:t>
      </w:r>
    </w:p>
    <w:p>
      <w:r>
        <w:rPr>
          <w:rFonts w:ascii="Calibri" w:hAnsi="Calibri"/>
          <w:b w:val="0"/>
        </w:rPr>
        <w:t>Deze procedure definieert de eisen en veiligheidsmaatregelen voor het uitvoeren van heet werk en vonkvormende werkzaamheden bij Phoenix Metals, overeenkomstig PE-290-01-11 [1]. Het doel is het voorkomen van brand, explosie en letselschade door een gestructureerd werkvergunningensysteem met risicoanalyse, preventieve maatregelen en nabewaking.</w:t>
      </w:r>
    </w:p>
    <w:p>
      <w:pPr>
        <w:pStyle w:val="Heading2"/>
      </w:pPr>
      <w:r>
        <w:t>1.2 Scope</w:t>
      </w:r>
    </w:p>
    <w:p>
      <w:r>
        <w:rPr>
          <w:rFonts w:ascii="Calibri" w:hAnsi="Calibri"/>
          <w:b/>
        </w:rPr>
        <w:t>Van toepassing op alle werkzaamheden met open vuur, vonkvorming, of temperaturen &gt;200°C</w:t>
      </w:r>
      <w:r>
        <w:rPr>
          <w:rFonts w:ascii="Calibri" w:hAnsi="Calibri"/>
        </w:rPr>
        <w:t xml:space="preserve"> uitgevoerd op alle Phoenix Metals locaties. Dit omvat:</w:t>
      </w:r>
    </w:p>
    <w:p>
      <w:pPr>
        <w:pStyle w:val="ListBullet"/>
        <w:spacing w:after="40"/>
      </w:pPr>
      <w:r>
        <w:t>Lassen (MIG, TIG, booglassen, gaslassen)</w:t>
      </w:r>
    </w:p>
    <w:p>
      <w:pPr>
        <w:pStyle w:val="ListBullet"/>
        <w:spacing w:after="40"/>
      </w:pPr>
      <w:r>
        <w:t>Snijden (autogeen, plasma)</w:t>
      </w:r>
    </w:p>
    <w:p>
      <w:pPr>
        <w:pStyle w:val="ListBullet"/>
        <w:spacing w:after="40"/>
      </w:pPr>
      <w:r>
        <w:t>Slijpen en schuren met vonkvormend gereedschap</w:t>
      </w:r>
    </w:p>
    <w:p>
      <w:pPr>
        <w:pStyle w:val="ListBullet"/>
        <w:spacing w:after="40"/>
      </w:pPr>
      <w:r>
        <w:t>Boren in metaal met vonkvorming</w:t>
      </w:r>
    </w:p>
    <w:p>
      <w:pPr>
        <w:pStyle w:val="ListBullet"/>
        <w:spacing w:after="40"/>
      </w:pPr>
      <w:r>
        <w:t>Verhitten (branders, hittekanonnen)</w:t>
      </w:r>
    </w:p>
    <w:p>
      <w:pPr>
        <w:pStyle w:val="ListBullet"/>
        <w:spacing w:after="40"/>
      </w:pPr>
      <w:r>
        <w:t>Stralen en gritstralen (stofvonkvorming)</w:t>
      </w:r>
    </w:p>
    <w:p>
      <w:pPr>
        <w:pStyle w:val="ListBullet"/>
        <w:spacing w:after="40"/>
      </w:pPr>
      <w:r>
        <w:t>Elke andere werkzaamheid waarbij temperatuur &gt;200°C of vonkvorming ontstaat</w:t>
      </w:r>
    </w:p>
    <w:p>
      <w:pPr>
        <w:pStyle w:val="Heading2"/>
      </w:pPr>
      <w:r>
        <w:t>1.3 Referentie</w:t>
      </w:r>
    </w:p>
    <w:p>
      <w:r>
        <w:rPr>
          <w:rFonts w:ascii="Calibri" w:hAnsi="Calibri"/>
          <w:b w:val="0"/>
        </w:rPr>
        <w:t>Procedurecode: PE-290-01-11 [1]. Onderdeel van het Control of Work systeem (PE-290-01) conform BRZO 2015 Art. 7 [2] en NTA 8620 [3].</w:t>
      </w:r>
    </w:p>
    <w:p>
      <w:pPr>
        <w:pStyle w:val="Heading1"/>
      </w:pPr>
      <w:r>
        <w:t>2. Wettelijk Kader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Artikel/Bepaling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Operationele procedures voor Seveso-inrichtingen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7 (Element IV) [2]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Algemene plicht zorg voor veilige werkplek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3.1, 3.5, 3.6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Control of Work, Hot Work vergunning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Hoofdstuk 8.4 [3]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PGS 15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Opslag gevaarlijke stoffen nabij heet werk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Richtlijn veilige afstanden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137/114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Explosieve atmosferen — verbod/extra eisen in ATEX zones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RL 1999/92/EC, 2014/34/EU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Major Accident Prevention, Control of Work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2012/18/EU Art. 12</w:t>
            </w:r>
          </w:p>
        </w:tc>
      </w:tr>
    </w:tbl>
    <w:p>
      <w:pPr>
        <w:pStyle w:val="Heading1"/>
      </w:pPr>
      <w: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Heet werk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werkzaamheden waarbij open vuur, vonken of temperaturen &gt;200°C ontstaan (lassen, snijden, slijpen, boren, verhitten).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(Fire Watch)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 aangewezen persoon die tijdens en na heet werk de omgeving bewaakt op brand of rook. Uitgerust met brandblusapparaat; mag geen andere taken uitvoeren.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Vonkvrij certificaat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Verklaring dat gereedschap/werkmethode voldoet aan ATEX-eisen voor gebruik in of nabij gebieden met explosiegevaar.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Meting van LEL, O₂, H₂S en CO in de werkomgeving vóór en tijdens heet werk.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Brandblusmiddel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 geschikt brandblusapparaat (minimaal 6 kg poeder of CO₂), direct beschikbaar en door brandwacht bedienbaar.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Werkvergunning Heet Werk (WV-HW)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Officieel document waarmee een bevoegd persoon toestemming verleent voor heet werk onder specifieke voorwaarden.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LEL (Lower Explosive Limit)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Onderste explosiegrens. Minimale gasconcentratie voor explosiemengsel. Eis: &lt;10% LEL.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Permit Author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Bevoegd persoon die de werkvergunning beoordeelt en goedkeurt (shiftleider of HSEQ Manager).</w:t>
            </w:r>
          </w:p>
        </w:tc>
      </w:tr>
    </w:tbl>
    <w:p>
      <w:pPr>
        <w:pStyle w:val="Heading1"/>
      </w:pPr>
      <w:r>
        <w:t>4. Verantwoordelijkheden (RACI)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Permit Author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Uitvoerder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Brandwacht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HSEQ Manager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Op. Manager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Aanvraag WV-HW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 uitvoeren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Locatiebeoordeling / ATEX check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uitvoeren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Brandpreventieve maatregelen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aanwijzen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Goedkeuring vergunning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 heet werk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Nabewaking (60 min)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Afsluiting en aftekening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</w:tbl>
    <w:p>
      <w:r>
        <w:rPr>
          <w:rFonts w:ascii="Calibri" w:hAnsi="Calibri"/>
          <w:i/>
          <w:sz w:val="18"/>
        </w:rPr>
        <w:t>R = Responsible | A = Accountable | C = Consulted | I = Informed</w:t>
      </w:r>
    </w:p>
    <w:p>
      <w:r>
        <w:br w:type="page"/>
      </w:r>
    </w:p>
    <w:p>
      <w:pPr>
        <w:pStyle w:val="Heading1"/>
      </w:pPr>
      <w:r>
        <w:t>5. Procedure Heet Werk — Stap voor Stap</w:t>
      </w:r>
    </w:p>
    <w:p>
      <w:pPr>
        <w:pStyle w:val="Heading2"/>
      </w:pPr>
      <w:r>
        <w:t>Stap 1: Aanvraag Werkvergunning Heet Werk (WV-HW)</w:t>
      </w:r>
    </w:p>
    <w:p>
      <w:r>
        <w:rPr>
          <w:rFonts w:ascii="Calibri" w:hAnsi="Calibri"/>
          <w:b w:val="0"/>
        </w:rPr>
        <w:t>De uitvoerder dient een aanvraag in via het Control of Work systeem (PE-290-01). De aanvraag bevat: werkomschrijving, locatie, tijdstip, gereedschap, betrokken personen en tijdsduur. De WV-HW is persoonsgebonden en locatiespecifiek.</w:t>
      </w:r>
    </w:p>
    <w:p>
      <w:pPr>
        <w:pStyle w:val="Heading2"/>
      </w:pPr>
      <w:r>
        <w:t>Stap 2: Task Risk Assessment (TRA)</w:t>
      </w:r>
    </w:p>
    <w:p>
      <w:r>
        <w:rPr>
          <w:rFonts w:ascii="Calibri" w:hAnsi="Calibri"/>
          <w:b w:val="0"/>
        </w:rPr>
        <w:t>Een specifieke TRA wordt uitgevoerd voor de heet werk activiteit. De TRA identificeert gevaren: brand, explosie, blootstelling aan gevaarlijke stoffen, elektrische risico's, werken op hoogte. Maatregelen worden gedocumenteerd op het TRA-formulier. Bij betrokkenheid van H₂SO₄ of V₂O₅ wordt de TRA aangescherpt met chemische risico's [5].</w:t>
      </w:r>
    </w:p>
    <w:p>
      <w:pPr>
        <w:pStyle w:val="Heading2"/>
      </w:pPr>
      <w:r>
        <w:t>Stap 3: Locatiebeoordeling en ATEX Zone Check</w:t>
      </w:r>
    </w:p>
    <w:p>
      <w:r>
        <w:rPr>
          <w:rFonts w:ascii="Calibri" w:hAnsi="Calibri"/>
          <w:b w:val="0"/>
        </w:rPr>
        <w:t>De locatie wordt beoordeeld op: (a) ATEX-zones — koppeling met Element 2 Document #06 [4], (b) nabijheid van gevaarlijke stoffen (H₂SO₄, NaOH, V₂O₅, CaO), (c) brandbare materialen binnen 13 meter radius, (d) ventilatie en afzuiging.</w:t>
      </w:r>
    </w:p>
    <w:p>
      <w:pPr>
        <w:pStyle w:val="Heading2"/>
      </w:pPr>
      <w:r>
        <w:t>Stap 4: Gasmeting (Explosiemeting)</w:t>
      </w:r>
    </w:p>
    <w:p>
      <w:r>
        <w:rPr>
          <w:rFonts w:ascii="Calibri" w:hAnsi="Calibri"/>
          <w:b w:val="0"/>
        </w:rPr>
        <w:t>Gasmeting door bevoegd persoon met gecalibreerd instrument. Parameters: LEL (&lt;10%), O₂ (19,5–23,5%), H₂S (&lt;10 ppm), CO (&lt;25 ppm). Resultaat vastleggen op WV-HW. Bij overschrijding: werk NIET starten.</w:t>
      </w:r>
    </w:p>
    <w:p>
      <w:pPr>
        <w:pStyle w:val="Heading2"/>
      </w:pPr>
      <w:r>
        <w:t>Stap 5: Brandpreventieve Maatregelen</w:t>
      </w:r>
    </w:p>
    <w:p>
      <w:r>
        <w:rPr>
          <w:rFonts w:ascii="Calibri" w:hAnsi="Calibri"/>
          <w:b w:val="0"/>
        </w:rPr>
        <w:t>Binnen 13 meter radius: (a) brandbare materialen verwijderd of afgedekt met brandwerende dekken, (b) openingen afgedekt, (c) minimaal één brandblusmiddel (6 kg) beschikbaar, (d) vloer/wanden vrij van olie/vet/afval, (e) vonkenvangers geplaatst bij werk op hoogte.</w:t>
      </w:r>
    </w:p>
    <w:p>
      <w:pPr>
        <w:pStyle w:val="Heading2"/>
      </w:pPr>
      <w:r>
        <w:t>Stap 6: Brandwacht Aanwijzen</w:t>
      </w:r>
    </w:p>
    <w:p>
      <w:r>
        <w:rPr>
          <w:rFonts w:ascii="Calibri" w:hAnsi="Calibri"/>
          <w:b w:val="0"/>
        </w:rPr>
        <w:t>Per werkplek één brandwacht. Eisen: getraind in brandbestrijding, bekend met locatie/vluchtroutes, uitgerust met brandblusapparaat, mag geen andere taken uitvoeren, blijft op post tot 60 min na afloop.</w:t>
      </w:r>
    </w:p>
    <w:p>
      <w:pPr>
        <w:pStyle w:val="Heading2"/>
      </w:pPr>
      <w:r>
        <w:t>Stap 7: Goedkeoring door Bevoegd Persoon</w:t>
      </w:r>
    </w:p>
    <w:p>
      <w:r>
        <w:rPr>
          <w:rFonts w:ascii="Calibri" w:hAnsi="Calibri"/>
          <w:b w:val="0"/>
        </w:rPr>
        <w:t>Permit Author controleert: WV-HW compleet, TRA ondertekend, gasmeting acceptabel, preventieve maatregelen getroffen, brandwacht aangewezen. Bij akkoord: ondertekening. Vergunning geldig voor maximaal één shift.</w:t>
      </w:r>
    </w:p>
    <w:p>
      <w:pPr>
        <w:pStyle w:val="Heading2"/>
      </w:pPr>
      <w:r>
        <w:t>Stap 8: Uitvoering met Continue Monitoring</w:t>
      </w:r>
    </w:p>
    <w:p>
      <w:r>
        <w:rPr>
          <w:rFonts w:ascii="Calibri" w:hAnsi="Calibri"/>
          <w:b w:val="0"/>
        </w:rPr>
        <w:t>Tijdens het werk: (a) brandwacht monitort continu, (b) gasmeting elke 2 uur herhalen, (c) bij onveilige situatie onmiddellijk stilleggen, (d) vergunning actualiseren bij wijzigingen.</w:t>
      </w:r>
    </w:p>
    <w:p>
      <w:pPr>
        <w:pStyle w:val="Heading2"/>
      </w:pPr>
      <w:r>
        <w:t>Stap 9: Nabewaking (60 minuten)</w:t>
      </w:r>
    </w:p>
    <w:p>
      <w:r>
        <w:rPr>
          <w:rFonts w:ascii="Calibri" w:hAnsi="Calibri"/>
          <w:b w:val="0"/>
        </w:rPr>
        <w:t>Na afloop blijft brandwacht minimaal 60 minuten op post. Controle op nasmeul, warmteontwikkeling en rook in directe werkplek, gebieden eronder/erbinnen, verborgen ruimtes en kabelgoten.</w:t>
      </w:r>
    </w:p>
    <w:p>
      <w:pPr>
        <w:pStyle w:val="Heading2"/>
      </w:pPr>
      <w:r>
        <w:t>Stap 10: Aftekening en Afsluiting</w:t>
      </w:r>
    </w:p>
    <w:p>
      <w:r>
        <w:rPr>
          <w:rFonts w:ascii="Calibri" w:hAnsi="Calibri"/>
          <w:b w:val="0"/>
        </w:rPr>
        <w:t>Na succesvolle nabewaking: (a) brandwacht tekent af, (b) uitvoerder tekent af, (c) Permit Author sluit vergunning, (d) archivering in CoW-systeem, (e) afwijkingen/incidenten melden via meldingsprocedure [5].</w:t>
      </w:r>
    </w:p>
    <w:p>
      <w:r>
        <w:br w:type="page"/>
      </w:r>
    </w:p>
    <w:p>
      <w:pPr>
        <w:pStyle w:val="Heading1"/>
      </w:pPr>
      <w:r>
        <w:t>6. Specifieke Eisen per Locatietype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Locatietype</w:t>
            </w:r>
          </w:p>
        </w:tc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Extra Vereisten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zone 20/21/22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VERBODEN zonder uitgebreide TRA + explosiebeveiligingsdocument. Raadpleeg Element 2 Doc #06 [4]. Uitsluitend vonkvrij gereedschap.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Nabij H₂SO₄ opslag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Vonkvrij certificaat vereist. Extra TRA chemische blootstelling. PGS 15 veilige afstand toepassen.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Nabij V₂O₅ opslag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Stofmeting vereist (Carc. 1B). Afzuiging + stofafscherming. Ademhalingsbescherming P3.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Buiten (open lucht)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Windrichting bepalen. Staken bij windkracht ≥6 Bft. Vonkenvangers opwinds geplaatst.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Besloten ruimte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Continue gasmeting. Mechanische ventilatie. Reddingsteam stand-by. Twee vluchtroutes.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Op/nabij leidingen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 conform PE-290-01. Drukmeting leeg (&lt;0,1 bar). Leiding leeggelopen en gespoeld.</w:t>
            </w:r>
          </w:p>
        </w:tc>
      </w:tr>
    </w:tbl>
    <w:p>
      <w:pPr>
        <w:pStyle w:val="Heading1"/>
      </w:pPr>
      <w:r>
        <w:t>7. Brandpreventie Checklist (10-punts)</w:t>
      </w:r>
    </w:p>
    <w:p>
      <w:r>
        <w:rPr>
          <w:rFonts w:ascii="Calibri" w:hAnsi="Calibri"/>
          <w:b w:val="0"/>
        </w:rPr>
        <w:t>De brandwacht vult deze checklist uit vóór aanvang van het heet werk: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Controlepunt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OK/NOK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Brandbare materialen binnen 13m verwijderd of afgedekt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Opening (kabelgoten, putten, roosters) afgedekt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Brandblusmiddel (min. 6 kg) direct beschikbaar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uitgevoerd — resultaat binnen grenswaarden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Vonkenvangers geplaatst (indien werk op hoogte)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ATEX-zone beoordeeld — geen belemmering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aangewezen en geïnstrueerd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Vluchtroutes vrij en gemarkeerd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9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Communicatiemiddelen getest en operationeel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Nabewakingstijd (60 min) gepland en gereserveerd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t>8. Gasmeting Protocol</w:t>
      </w:r>
    </w:p>
    <w:p>
      <w:pPr>
        <w:pStyle w:val="Heading2"/>
      </w:pPr>
      <w:r>
        <w:t>8.1 Wanneer</w:t>
      </w:r>
    </w:p>
    <w:p>
      <w:r>
        <w:rPr>
          <w:rFonts w:ascii="Calibri" w:hAnsi="Calibri"/>
          <w:b w:val="0"/>
        </w:rPr>
        <w:t>Gasmeting is VERPLICHT: (a) vóór aanvang heet werk, (b) elke 2 uur tijdens het werk, (c) bij verandering van omstandigheden (wind, temperatuur, lekkage vermoeden), (d) in besloten ruimtes: continue monitoring.</w:t>
      </w:r>
    </w:p>
    <w:p>
      <w:pPr>
        <w:pStyle w:val="Heading2"/>
      </w:pPr>
      <w:r>
        <w:t>8.2 Parameters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Eenheid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Grenswaarde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 bij overschrijding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&lt;10%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 NIET starten / onmiddellijk stilleggen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O₂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19,5–23,5%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Onderzoek oorzaak, extra ventilatie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&lt;10 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Verlaten ruimte, ademhalingsbescherming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&lt;25 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Ventileren, onderzoek bron</w:t>
            </w:r>
          </w:p>
        </w:tc>
      </w:tr>
    </w:tbl>
    <w:p>
      <w:pPr>
        <w:pStyle w:val="Heading2"/>
      </w:pPr>
      <w:r>
        <w:t>8.3 Hoe</w:t>
      </w:r>
    </w:p>
    <w:p>
      <w:r>
        <w:rPr>
          <w:rFonts w:ascii="Calibri" w:hAnsi="Calibri"/>
          <w:b w:val="0"/>
        </w:rPr>
        <w:t>Meetinstrument: gecalibreerde explosimeter (4-gas meter). Kalibratiecertificaat moet geldig zijn. Meting op ademhoogte (1,5 m) en op de werkhoogte. Resultaat direct noteren op WV-HW met tijdstip en naam meter.</w:t>
      </w:r>
    </w:p>
    <w:p>
      <w:pPr>
        <w:pStyle w:val="Heading1"/>
      </w:pPr>
      <w:r>
        <w:t>9. Noodprocedures</w:t>
      </w:r>
    </w:p>
    <w:p>
      <w:pPr>
        <w:pStyle w:val="Heading2"/>
      </w:pPr>
      <w:r>
        <w:t>9.1 Bij Brand</w:t>
      </w:r>
    </w:p>
    <w:p>
      <w:pPr>
        <w:pStyle w:val="ListBullet"/>
        <w:spacing w:after="40"/>
      </w:pPr>
      <w:r>
        <w:t>Brandwacht alarmeert onmiddellijk (112 indien nodig)</w:t>
      </w:r>
    </w:p>
    <w:p>
      <w:pPr>
        <w:pStyle w:val="ListBullet"/>
        <w:spacing w:after="40"/>
      </w:pPr>
      <w:r>
        <w:t>Brand bestrijden met beschikbaar brandblusmiddel — indien veilig</w:t>
      </w:r>
    </w:p>
    <w:p>
      <w:pPr>
        <w:pStyle w:val="ListBullet"/>
        <w:spacing w:after="40"/>
      </w:pPr>
      <w:r>
        <w:t>Werk stilleggen en vergunning intrekken</w:t>
      </w:r>
    </w:p>
    <w:p>
      <w:pPr>
        <w:pStyle w:val="ListBullet"/>
        <w:spacing w:after="40"/>
      </w:pPr>
      <w:r>
        <w:t>Evacuatie via dichtstbijzijnde vluchtroute</w:t>
      </w:r>
    </w:p>
    <w:p>
      <w:pPr>
        <w:pStyle w:val="ListBullet"/>
        <w:spacing w:after="40"/>
      </w:pPr>
      <w:r>
        <w:t>Melden aan Shiftleider en HSEQ Manager</w:t>
      </w:r>
    </w:p>
    <w:p>
      <w:pPr>
        <w:pStyle w:val="ListBullet"/>
        <w:spacing w:after="40"/>
      </w:pPr>
      <w:r>
        <w:t>Incident rapporteren via meldingsprocedure [5]</w:t>
      </w:r>
    </w:p>
    <w:p>
      <w:pPr>
        <w:pStyle w:val="Heading2"/>
      </w:pPr>
      <w:r>
        <w:t>9.2 Bij Gasalarm</w:t>
      </w:r>
    </w:p>
    <w:p>
      <w:pPr>
        <w:pStyle w:val="ListBullet"/>
        <w:spacing w:after="40"/>
      </w:pPr>
      <w:r>
        <w:t>Werk onmiddellijk stilleggen</w:t>
      </w:r>
    </w:p>
    <w:p>
      <w:pPr>
        <w:pStyle w:val="ListBullet"/>
        <w:spacing w:after="40"/>
      </w:pPr>
      <w:r>
        <w:t>Werkplek evacueren — wind op de rug nemen</w:t>
      </w:r>
    </w:p>
    <w:p>
      <w:pPr>
        <w:pStyle w:val="ListBullet"/>
        <w:spacing w:after="40"/>
      </w:pPr>
      <w:r>
        <w:t>Gasmeting herhalen bij afname alarm</w:t>
      </w:r>
    </w:p>
    <w:p>
      <w:pPr>
        <w:pStyle w:val="ListBullet"/>
        <w:spacing w:after="40"/>
      </w:pPr>
      <w:r>
        <w:t>Pas hervatten na hermeting binnen grenswaarden + toestemming Permit Author</w:t>
      </w:r>
    </w:p>
    <w:p>
      <w:pPr>
        <w:pStyle w:val="ListBullet"/>
        <w:spacing w:after="40"/>
      </w:pPr>
      <w:r>
        <w:t>Oorzaak onderzoeken vóór herstart</w:t>
      </w:r>
    </w:p>
    <w:p>
      <w:pPr>
        <w:pStyle w:val="Heading2"/>
      </w:pPr>
      <w:r>
        <w:t>9.3 Bij Ongeval</w:t>
      </w:r>
    </w:p>
    <w:p>
      <w:pPr>
        <w:pStyle w:val="ListBullet"/>
        <w:spacing w:after="40"/>
      </w:pPr>
      <w:r>
        <w:t>Eerste hulp verlenen (indien veilig)</w:t>
      </w:r>
    </w:p>
    <w:p>
      <w:pPr>
        <w:pStyle w:val="ListBullet"/>
        <w:spacing w:after="40"/>
      </w:pPr>
      <w:r>
        <w:t>112 bellen bij ernstig letsel</w:t>
      </w:r>
    </w:p>
    <w:p>
      <w:pPr>
        <w:pStyle w:val="ListBullet"/>
        <w:spacing w:after="40"/>
      </w:pPr>
      <w:r>
        <w:t>Werk stilleggen en gebied afzetten</w:t>
      </w:r>
    </w:p>
    <w:p>
      <w:pPr>
        <w:pStyle w:val="ListBullet"/>
        <w:spacing w:after="40"/>
      </w:pPr>
      <w:r>
        <w:t>Shiftleider en HSEQ Manager informeren</w:t>
      </w:r>
    </w:p>
    <w:p>
      <w:pPr>
        <w:pStyle w:val="ListBullet"/>
        <w:spacing w:after="40"/>
      </w:pPr>
      <w:r>
        <w:t>Ongevalonderzoek starten conform incident reporting procedure [5]</w:t>
      </w:r>
    </w:p>
    <w:p>
      <w:r>
        <w:br w:type="page"/>
      </w:r>
    </w:p>
    <w:p>
      <w:pPr>
        <w:pStyle w:val="Heading2"/>
      </w:pPr>
      <w:r>
        <w:rPr>
          <w:color w:val="003366"/>
        </w:rPr>
        <w:t>ATEX-zone Pre-conditie (E2#06)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E2#06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ATEX-zone Classificatie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VERPLICHTE ATEX-zone check als pre-conditie voor heet werk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Voorafgaand aan elke heet werk vergunning is een VERPLICHTE ATEX-zone check vereist (E2#06). Heet werk in ATEX zone 20, 21 of 22 is verboden zonder uitgebreide Task Risk Analysis (TRA). De TRA moet specifieke maatregelen bevatten voor explosieve atmosferen.</w:t>
      </w:r>
    </w:p>
    <w:p>
      <w:pPr>
        <w:pStyle w:val="Heading1"/>
      </w:pPr>
      <w:r>
        <w:t>10. Bronnenlijst</w:t>
      </w:r>
    </w:p>
    <w:p>
      <w:r>
        <w:rPr>
          <w:rFonts w:ascii="Calibri" w:hAnsi="Calibri"/>
          <w:b w:val="0"/>
        </w:rPr>
        <w:t>[1] Phoenix Metals, "Procedure Heet Werk en Vonken," PE-290-01-11, 2026.</w:t>
      </w:r>
    </w:p>
    <w:p>
      <w:r>
        <w:rPr>
          <w:rFonts w:ascii="Calibri" w:hAnsi="Calibri"/>
          <w:b w:val="0"/>
        </w:rPr>
        <w:t>[2] BRZO 2015 (Besluit Risico's Zware Ongevallen), Art. 7 — Element IV: Controle op de Exploitatie.</w:t>
      </w:r>
    </w:p>
    <w:p>
      <w:r>
        <w:rPr>
          <w:rFonts w:ascii="Calibri" w:hAnsi="Calibri"/>
          <w:b w:val="0"/>
        </w:rPr>
        <w:t>[3] NTA 8620:2018, "Arbeidsomstandigheden — Seveso-inrichtingen — Eisen aan het veiligheidsmanagementsysteem," Hoofdstuk 8.4.</w:t>
      </w:r>
    </w:p>
    <w:p>
      <w:r>
        <w:rPr>
          <w:rFonts w:ascii="Calibri" w:hAnsi="Calibri"/>
          <w:b w:val="0"/>
        </w:rPr>
        <w:t>[4] Phoenix Metals, VBS Element 2 Document #06 — ATEX-classificatie en stofexplosieanalyse, 2026.</w:t>
      </w:r>
    </w:p>
    <w:p>
      <w:r>
        <w:rPr>
          <w:rFonts w:ascii="Calibri" w:hAnsi="Calibri"/>
          <w:b w:val="0"/>
        </w:rPr>
        <w:t>[5] Phoenix Metals, Meta-Dossier VBS Element 3, versie 1.0, 2026.</w:t>
      </w:r>
    </w:p>
    <w:p>
      <w:pPr>
        <w:pStyle w:val="Heading1"/>
      </w:pPr>
      <w:r>
        <w:t>11.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compleet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2015, Arbobesluit, NTA 8620, PGS 15, ATEX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relevante wetgeving opgenomen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RACI matrix volledig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§2.3, NTA 8620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rollen × 10 activiteiten gedekt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Procedure 10 stappen compleet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PE-290-01-11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Aanvraag tot afsluiting volledig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Locatietypen gedekt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(gevaarlijke stoffen)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ATEX, H₂SO₄, V₂O₅, buiten, besloten, leidingen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protocol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8620, Arbobesluit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parameters + frequentie + actie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Element 2 Doc #06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ATEX-classificatie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Verwijzing in Stap 3 + §6 tabel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[1]–[5]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 bronnen, correct genummerd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branding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Logo, footer, kleuren, lettertype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Styleguide §2.1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Project, Type, Auteur, Versie, Datum, Status op voorblad</w:t>
            </w:r>
          </w:p>
        </w:tc>
      </w:tr>
    </w:tbl>
    <w:p>
      <w:r>
        <w:rPr>
          <w:rFonts w:ascii="Calibri" w:hAnsi="Calibri"/>
          <w:b w:val="0"/>
        </w:rPr>
      </w:r>
    </w:p>
    <w:p>
      <w:r>
        <w:rPr>
          <w:rFonts w:ascii="Calibri" w:hAnsi="Calibri"/>
          <w:b/>
          <w:color w:val="003366"/>
        </w:rPr>
        <w:t>TierVerify Status: PASS — Document voldoet aan alle kwaliteitscriteria.</w:t>
      </w:r>
    </w:p>
    <w:p>
      <w:r>
        <w:rPr>
          <w:rFonts w:ascii="Calibri" w:hAnsi="Calibri"/>
          <w:sz w:val="20"/>
        </w:rPr>
        <w:t>Verifier: HQ_01 — HSEQ Specialist | Datum: 29 april 2026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