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6000"/>
                    </a:xfrm>
                    <a:prstGeom prst="rect"/>
                  </pic:spPr>
                </pic:pic>
              </a:graphicData>
            </a:graphic>
          </wp:inline>
        </w:drawing>
      </w:r>
    </w:p>
    <w:p>
      <w:pPr>
        <w:jc w:val="center"/>
      </w:pPr>
      <w:r>
        <w:rPr>
          <w:rFonts w:ascii="Calibri" w:hAnsi="Calibri"/>
          <w:b/>
          <w:color w:val="003366"/>
          <w:sz w:val="56"/>
        </w:rPr>
        <w:t>CONTROL OF WORK PROCEDURE</w:t>
      </w:r>
    </w:p>
    <w:p>
      <w:pPr>
        <w:jc w:val="center"/>
      </w:pPr>
      <w:r>
        <w:rPr>
          <w:color w:val="1F2937"/>
          <w:sz w:val="28"/>
        </w:rPr>
        <w:t>VBS Element 3 — Controle op de Exploitatie</w:t>
        <w:br/>
        <w:t>Document #1: Control of Work (CoW)</w:t>
      </w:r>
    </w:p>
    <w:p>
      <w:pPr>
        <w:jc w:val="center"/>
      </w:pPr>
      <w:r>
        <w:rPr>
          <w:color w:val="374151"/>
          <w:sz w:val="24"/>
        </w:rPr>
        <w:t>Phoenix Metals — Vanadium Recovery Plant, IJmuiden</w:t>
      </w:r>
    </w:p>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Veld</w:t>
            </w:r>
          </w:p>
        </w:tc>
        <w:tc>
          <w:tcPr>
            <w:tcW w:type="dxa" w:w="4703"/>
            <w:shd w:fill="003366"/>
          </w:tcPr>
          <w:p>
            <w:r/>
            <w:r>
              <w:rPr>
                <w:rFonts w:ascii="Calibri" w:hAnsi="Calibri"/>
                <w:b/>
                <w:color w:val="FFFFFF"/>
                <w:sz w:val="20"/>
              </w:rPr>
              <w:t>Waarde</w:t>
            </w:r>
          </w:p>
        </w:tc>
      </w:tr>
      <w:tr>
        <w:tc>
          <w:tcPr>
            <w:tcW w:type="dxa" w:w="4703"/>
          </w:tcPr>
          <w:p>
            <w:r/>
            <w:r>
              <w:rPr>
                <w:rFonts w:ascii="Calibri" w:hAnsi="Calibri"/>
                <w:color w:val="1F2937"/>
                <w:sz w:val="20"/>
              </w:rPr>
              <w:t>Project</w:t>
            </w:r>
          </w:p>
        </w:tc>
        <w:tc>
          <w:tcPr>
            <w:tcW w:type="dxa" w:w="4703"/>
          </w:tcPr>
          <w:p>
            <w:r/>
            <w:r>
              <w:rPr>
                <w:rFonts w:ascii="Calibri" w:hAnsi="Calibri"/>
                <w:color w:val="1F2937"/>
                <w:sz w:val="20"/>
              </w:rPr>
              <w:t>2026-PM-VBS-Element3</w:t>
            </w:r>
          </w:p>
        </w:tc>
      </w:tr>
      <w:tr>
        <w:tc>
          <w:tcPr>
            <w:tcW w:type="dxa" w:w="4703"/>
            <w:shd w:fill="F8F9FA"/>
          </w:tcPr>
          <w:p>
            <w:r/>
            <w:r>
              <w:rPr>
                <w:rFonts w:ascii="Calibri" w:hAnsi="Calibri"/>
                <w:color w:val="1F2937"/>
                <w:sz w:val="20"/>
              </w:rPr>
              <w:t>Type</w:t>
            </w:r>
          </w:p>
        </w:tc>
        <w:tc>
          <w:tcPr>
            <w:tcW w:type="dxa" w:w="4703"/>
            <w:shd w:fill="F8F9FA"/>
          </w:tcPr>
          <w:p>
            <w:r/>
            <w:r>
              <w:rPr>
                <w:rFonts w:ascii="Calibri" w:hAnsi="Calibri"/>
                <w:color w:val="1F2937"/>
                <w:sz w:val="20"/>
              </w:rPr>
              <w:t>Procedure</w:t>
            </w:r>
          </w:p>
        </w:tc>
      </w:tr>
      <w:tr>
        <w:tc>
          <w:tcPr>
            <w:tcW w:type="dxa" w:w="4703"/>
          </w:tcPr>
          <w:p>
            <w:r/>
            <w:r>
              <w:rPr>
                <w:rFonts w:ascii="Calibri" w:hAnsi="Calibri"/>
                <w:color w:val="1F2937"/>
                <w:sz w:val="20"/>
              </w:rPr>
              <w:t>Referentie</w:t>
            </w:r>
          </w:p>
        </w:tc>
        <w:tc>
          <w:tcPr>
            <w:tcW w:type="dxa" w:w="4703"/>
          </w:tcPr>
          <w:p>
            <w:r/>
            <w:r>
              <w:rPr>
                <w:rFonts w:ascii="Calibri" w:hAnsi="Calibri"/>
                <w:color w:val="1F2937"/>
                <w:sz w:val="20"/>
              </w:rPr>
              <w:t>PE-290-01</w:t>
            </w:r>
          </w:p>
        </w:tc>
      </w:tr>
      <w:tr>
        <w:tc>
          <w:tcPr>
            <w:tcW w:type="dxa" w:w="4703"/>
            <w:shd w:fill="F8F9FA"/>
          </w:tcPr>
          <w:p>
            <w:r/>
            <w:r>
              <w:rPr>
                <w:rFonts w:ascii="Calibri" w:hAnsi="Calibri"/>
                <w:color w:val="1F2937"/>
                <w:sz w:val="20"/>
              </w:rPr>
              <w:t>Auteur</w:t>
            </w:r>
          </w:p>
        </w:tc>
        <w:tc>
          <w:tcPr>
            <w:tcW w:type="dxa" w:w="4703"/>
            <w:shd w:fill="F8F9FA"/>
          </w:tcPr>
          <w:p>
            <w:r/>
            <w:r>
              <w:rPr>
                <w:rFonts w:ascii="Calibri" w:hAnsi="Calibri"/>
                <w:color w:val="1F2937"/>
                <w:sz w:val="20"/>
              </w:rPr>
              <w:t>HQ_04 Technical Writer</w:t>
            </w:r>
          </w:p>
        </w:tc>
      </w:tr>
      <w:tr>
        <w:tc>
          <w:tcPr>
            <w:tcW w:type="dxa" w:w="4703"/>
          </w:tcPr>
          <w:p>
            <w:r/>
            <w:r>
              <w:rPr>
                <w:rFonts w:ascii="Calibri" w:hAnsi="Calibri"/>
                <w:color w:val="1F2937"/>
                <w:sz w:val="20"/>
              </w:rPr>
              <w:t>Versie</w:t>
            </w:r>
          </w:p>
        </w:tc>
        <w:tc>
          <w:tcPr>
            <w:tcW w:type="dxa" w:w="4703"/>
          </w:tcPr>
          <w:p>
            <w:r/>
            <w:r>
              <w:rPr>
                <w:rFonts w:ascii="Calibri" w:hAnsi="Calibri"/>
                <w:color w:val="1F2937"/>
                <w:sz w:val="20"/>
              </w:rPr>
              <w:t>1.0</w:t>
            </w:r>
          </w:p>
        </w:tc>
      </w:tr>
      <w:tr>
        <w:tc>
          <w:tcPr>
            <w:tcW w:type="dxa" w:w="4703"/>
            <w:shd w:fill="F8F9FA"/>
          </w:tcPr>
          <w:p>
            <w:r/>
            <w:r>
              <w:rPr>
                <w:rFonts w:ascii="Calibri" w:hAnsi="Calibri"/>
                <w:color w:val="1F2937"/>
                <w:sz w:val="20"/>
              </w:rPr>
              <w:t>Datum</w:t>
            </w:r>
          </w:p>
        </w:tc>
        <w:tc>
          <w:tcPr>
            <w:tcW w:type="dxa" w:w="4703"/>
            <w:shd w:fill="F8F9FA"/>
          </w:tcPr>
          <w:p>
            <w:r/>
            <w:r>
              <w:rPr>
                <w:rFonts w:ascii="Calibri" w:hAnsi="Calibri"/>
                <w:color w:val="1F2937"/>
                <w:sz w:val="20"/>
              </w:rPr>
              <w:t>29 april 2026</w:t>
            </w:r>
          </w:p>
        </w:tc>
      </w:tr>
      <w:tr>
        <w:tc>
          <w:tcPr>
            <w:tcW w:type="dxa" w:w="4703"/>
          </w:tcPr>
          <w:p>
            <w:r/>
            <w:r>
              <w:rPr>
                <w:rFonts w:ascii="Calibri" w:hAnsi="Calibri"/>
                <w:color w:val="1F2937"/>
                <w:sz w:val="20"/>
              </w:rPr>
              <w:t>Status</w:t>
            </w:r>
          </w:p>
        </w:tc>
        <w:tc>
          <w:tcPr>
            <w:tcW w:type="dxa" w:w="4703"/>
          </w:tcPr>
          <w:p>
            <w:r/>
            <w:r>
              <w:rPr>
                <w:rFonts w:ascii="Calibri" w:hAnsi="Calibri"/>
                <w:color w:val="1F2937"/>
                <w:sz w:val="20"/>
              </w:rPr>
              <w:t>Final</w:t>
            </w:r>
          </w:p>
        </w:tc>
      </w:tr>
      <w:tr>
        <w:tc>
          <w:tcPr>
            <w:tcW w:type="dxa" w:w="4703"/>
            <w:shd w:fill="F8F9FA"/>
          </w:tcPr>
          <w:p>
            <w:r/>
            <w:r>
              <w:rPr>
                <w:rFonts w:ascii="Calibri" w:hAnsi="Calibri"/>
                <w:color w:val="1F2937"/>
                <w:sz w:val="20"/>
              </w:rPr>
              <w:t>Classificatie</w:t>
            </w:r>
          </w:p>
        </w:tc>
        <w:tc>
          <w:tcPr>
            <w:tcW w:type="dxa" w:w="4703"/>
            <w:shd w:fill="F8F9FA"/>
          </w:tcPr>
          <w:p>
            <w:r/>
            <w:r>
              <w:rPr>
                <w:rFonts w:ascii="Calibri" w:hAnsi="Calibri"/>
                <w:color w:val="1F2937"/>
                <w:sz w:val="20"/>
              </w:rPr>
              <w:t>Vertrouwelijk — Phoenix Metals</w:t>
            </w:r>
          </w:p>
        </w:tc>
      </w:tr>
    </w:tbl>
    <w:p>
      <w:r>
        <w:br w:type="page"/>
      </w:r>
    </w:p>
    <w:p>
      <w:pPr>
        <w:pStyle w:val="Heading1"/>
      </w:pPr>
      <w:r>
        <w:t>1. Documentbeheersing</w:t>
      </w:r>
    </w:p>
    <w:p>
      <w:pPr>
        <w:pStyle w:val="Heading2"/>
      </w:pPr>
      <w:r>
        <w:t>1.1 Versiebeheer</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Calibri" w:hAnsi="Calibri"/>
                <w:b/>
                <w:color w:val="FFFFFF"/>
                <w:sz w:val="20"/>
              </w:rPr>
              <w:t>Versie</w:t>
            </w:r>
          </w:p>
        </w:tc>
        <w:tc>
          <w:tcPr>
            <w:tcW w:type="dxa" w:w="2351"/>
            <w:shd w:fill="003366"/>
          </w:tcPr>
          <w:p>
            <w:r/>
            <w:r>
              <w:rPr>
                <w:rFonts w:ascii="Calibri" w:hAnsi="Calibri"/>
                <w:b/>
                <w:color w:val="FFFFFF"/>
                <w:sz w:val="20"/>
              </w:rPr>
              <w:t>Datum</w:t>
            </w:r>
          </w:p>
        </w:tc>
        <w:tc>
          <w:tcPr>
            <w:tcW w:type="dxa" w:w="2351"/>
            <w:shd w:fill="003366"/>
          </w:tcPr>
          <w:p>
            <w:r/>
            <w:r>
              <w:rPr>
                <w:rFonts w:ascii="Calibri" w:hAnsi="Calibri"/>
                <w:b/>
                <w:color w:val="FFFFFF"/>
                <w:sz w:val="20"/>
              </w:rPr>
              <w:t>Auteur</w:t>
            </w:r>
          </w:p>
        </w:tc>
        <w:tc>
          <w:tcPr>
            <w:tcW w:type="dxa" w:w="2351"/>
            <w:shd w:fill="003366"/>
          </w:tcPr>
          <w:p>
            <w:r/>
            <w:r>
              <w:rPr>
                <w:rFonts w:ascii="Calibri" w:hAnsi="Calibri"/>
                <w:b/>
                <w:color w:val="FFFFFF"/>
                <w:sz w:val="20"/>
              </w:rPr>
              <w:t>Wijziging</w:t>
            </w:r>
          </w:p>
        </w:tc>
      </w:tr>
      <w:tr>
        <w:tc>
          <w:tcPr>
            <w:tcW w:type="dxa" w:w="2351"/>
          </w:tcPr>
          <w:p>
            <w:r/>
            <w:r>
              <w:rPr>
                <w:rFonts w:ascii="Calibri" w:hAnsi="Calibri"/>
                <w:color w:val="1F2937"/>
                <w:sz w:val="20"/>
              </w:rPr>
              <w:t>0.1</w:t>
            </w:r>
          </w:p>
        </w:tc>
        <w:tc>
          <w:tcPr>
            <w:tcW w:type="dxa" w:w="2351"/>
          </w:tcPr>
          <w:p>
            <w:r/>
            <w:r>
              <w:rPr>
                <w:rFonts w:ascii="Calibri" w:hAnsi="Calibri"/>
                <w:color w:val="1F2937"/>
                <w:sz w:val="20"/>
              </w:rPr>
              <w:t>2026-04-29</w:t>
            </w:r>
          </w:p>
        </w:tc>
        <w:tc>
          <w:tcPr>
            <w:tcW w:type="dxa" w:w="2351"/>
          </w:tcPr>
          <w:p>
            <w:r/>
            <w:r>
              <w:rPr>
                <w:rFonts w:ascii="Calibri" w:hAnsi="Calibri"/>
                <w:color w:val="1F2937"/>
                <w:sz w:val="20"/>
              </w:rPr>
              <w:t>HQ_04</w:t>
            </w:r>
          </w:p>
        </w:tc>
        <w:tc>
          <w:tcPr>
            <w:tcW w:type="dxa" w:w="2351"/>
          </w:tcPr>
          <w:p>
            <w:r/>
            <w:r>
              <w:rPr>
                <w:rFonts w:ascii="Calibri" w:hAnsi="Calibri"/>
                <w:color w:val="1F2937"/>
                <w:sz w:val="20"/>
              </w:rPr>
              <w:t>Initiële opzet — Eerste release</w:t>
            </w:r>
          </w:p>
        </w:tc>
      </w:tr>
      <w:tr>
        <w:tc>
          <w:tcPr>
            <w:tcW w:type="dxa" w:w="2351"/>
            <w:shd w:fill="F8F9FA"/>
          </w:tcPr>
          <w:p>
            <w:r/>
            <w:r>
              <w:rPr>
                <w:rFonts w:ascii="Calibri" w:hAnsi="Calibri"/>
                <w:color w:val="1F2937"/>
                <w:sz w:val="20"/>
              </w:rPr>
              <w:t>1.0</w:t>
            </w:r>
          </w:p>
        </w:tc>
        <w:tc>
          <w:tcPr>
            <w:tcW w:type="dxa" w:w="2351"/>
            <w:shd w:fill="F8F9FA"/>
          </w:tcPr>
          <w:p>
            <w:r/>
            <w:r>
              <w:rPr>
                <w:rFonts w:ascii="Calibri" w:hAnsi="Calibri"/>
                <w:color w:val="1F2937"/>
                <w:sz w:val="20"/>
              </w:rPr>
              <w:t>2026-04-29</w:t>
            </w:r>
          </w:p>
        </w:tc>
        <w:tc>
          <w:tcPr>
            <w:tcW w:type="dxa" w:w="2351"/>
            <w:shd w:fill="F8F9FA"/>
          </w:tcPr>
          <w:p>
            <w:r/>
            <w:r>
              <w:rPr>
                <w:rFonts w:ascii="Calibri" w:hAnsi="Calibri"/>
                <w:color w:val="1F2937"/>
                <w:sz w:val="20"/>
              </w:rPr>
              <w:t>HQ_04</w:t>
            </w:r>
          </w:p>
        </w:tc>
        <w:tc>
          <w:tcPr>
            <w:tcW w:type="dxa" w:w="2351"/>
            <w:shd w:fill="F8F9FA"/>
          </w:tcPr>
          <w:p>
            <w:r/>
            <w:r>
              <w:rPr>
                <w:rFonts w:ascii="Calibri" w:hAnsi="Calibri"/>
                <w:color w:val="1F2937"/>
                <w:sz w:val="20"/>
              </w:rPr>
              <w:t>Final — Goedgekeurd voor uitgifte</w:t>
            </w:r>
          </w:p>
        </w:tc>
      </w:tr>
    </w:tbl>
    <w:p>
      <w:pPr>
        <w:pStyle w:val="Heading2"/>
      </w:pPr>
      <w:r>
        <w:t>1.2 Distributielijst</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Calibri" w:hAnsi="Calibri"/>
                <w:b/>
                <w:color w:val="FFFFFF"/>
                <w:sz w:val="20"/>
              </w:rPr>
              <w:t>Naam/Functie</w:t>
            </w:r>
          </w:p>
        </w:tc>
        <w:tc>
          <w:tcPr>
            <w:tcW w:type="dxa" w:w="3135"/>
            <w:shd w:fill="003366"/>
          </w:tcPr>
          <w:p>
            <w:r/>
            <w:r>
              <w:rPr>
                <w:rFonts w:ascii="Calibri" w:hAnsi="Calibri"/>
                <w:b/>
                <w:color w:val="FFFFFF"/>
                <w:sz w:val="20"/>
              </w:rPr>
              <w:t>Afdeling</w:t>
            </w:r>
          </w:p>
        </w:tc>
        <w:tc>
          <w:tcPr>
            <w:tcW w:type="dxa" w:w="3135"/>
            <w:shd w:fill="003366"/>
          </w:tcPr>
          <w:p>
            <w:r/>
            <w:r>
              <w:rPr>
                <w:rFonts w:ascii="Calibri" w:hAnsi="Calibri"/>
                <w:b/>
                <w:color w:val="FFFFFF"/>
                <w:sz w:val="20"/>
              </w:rPr>
              <w:t>Exemplaar</w:t>
            </w:r>
          </w:p>
        </w:tc>
      </w:tr>
      <w:tr>
        <w:tc>
          <w:tcPr>
            <w:tcW w:type="dxa" w:w="3135"/>
          </w:tcPr>
          <w:p>
            <w:r/>
            <w:r>
              <w:rPr>
                <w:rFonts w:ascii="Calibri" w:hAnsi="Calibri"/>
                <w:color w:val="1F2937"/>
                <w:sz w:val="20"/>
              </w:rPr>
              <w:t>Operations Manager</w:t>
            </w:r>
          </w:p>
        </w:tc>
        <w:tc>
          <w:tcPr>
            <w:tcW w:type="dxa" w:w="3135"/>
          </w:tcPr>
          <w:p>
            <w:r/>
            <w:r>
              <w:rPr>
                <w:rFonts w:ascii="Calibri" w:hAnsi="Calibri"/>
                <w:color w:val="1F2937"/>
                <w:sz w:val="20"/>
              </w:rPr>
              <w:t>Operations</w:t>
            </w:r>
          </w:p>
        </w:tc>
        <w:tc>
          <w:tcPr>
            <w:tcW w:type="dxa" w:w="3135"/>
          </w:tcPr>
          <w:p>
            <w:r/>
            <w:r>
              <w:rPr>
                <w:rFonts w:ascii="Calibri" w:hAnsi="Calibri"/>
                <w:color w:val="1F2937"/>
                <w:sz w:val="20"/>
              </w:rPr>
              <w:t>1</w:t>
            </w:r>
          </w:p>
        </w:tc>
      </w:tr>
      <w:tr>
        <w:tc>
          <w:tcPr>
            <w:tcW w:type="dxa" w:w="3135"/>
            <w:shd w:fill="F8F9FA"/>
          </w:tcPr>
          <w:p>
            <w:r/>
            <w:r>
              <w:rPr>
                <w:rFonts w:ascii="Calibri" w:hAnsi="Calibri"/>
                <w:color w:val="1F2937"/>
                <w:sz w:val="20"/>
              </w:rPr>
              <w:t>HSEQ Manager</w:t>
            </w:r>
          </w:p>
        </w:tc>
        <w:tc>
          <w:tcPr>
            <w:tcW w:type="dxa" w:w="3135"/>
            <w:shd w:fill="F8F9FA"/>
          </w:tcPr>
          <w:p>
            <w:r/>
            <w:r>
              <w:rPr>
                <w:rFonts w:ascii="Calibri" w:hAnsi="Calibri"/>
                <w:color w:val="1F2937"/>
                <w:sz w:val="20"/>
              </w:rPr>
              <w:t>HSEQ</w:t>
            </w:r>
          </w:p>
        </w:tc>
        <w:tc>
          <w:tcPr>
            <w:tcW w:type="dxa" w:w="3135"/>
            <w:shd w:fill="F8F9FA"/>
          </w:tcPr>
          <w:p>
            <w:r/>
            <w:r>
              <w:rPr>
                <w:rFonts w:ascii="Calibri" w:hAnsi="Calibri"/>
                <w:color w:val="1F2937"/>
                <w:sz w:val="20"/>
              </w:rPr>
              <w:t>1</w:t>
            </w:r>
          </w:p>
        </w:tc>
      </w:tr>
      <w:tr>
        <w:tc>
          <w:tcPr>
            <w:tcW w:type="dxa" w:w="3135"/>
          </w:tcPr>
          <w:p>
            <w:r/>
            <w:r>
              <w:rPr>
                <w:rFonts w:ascii="Calibri" w:hAnsi="Calibri"/>
                <w:color w:val="1F2937"/>
                <w:sz w:val="20"/>
              </w:rPr>
              <w:t>Werkvoorbereider</w:t>
            </w:r>
          </w:p>
        </w:tc>
        <w:tc>
          <w:tcPr>
            <w:tcW w:type="dxa" w:w="3135"/>
          </w:tcPr>
          <w:p>
            <w:r/>
            <w:r>
              <w:rPr>
                <w:rFonts w:ascii="Calibri" w:hAnsi="Calibri"/>
                <w:color w:val="1F2937"/>
                <w:sz w:val="20"/>
              </w:rPr>
              <w:t>Engineering</w:t>
            </w:r>
          </w:p>
        </w:tc>
        <w:tc>
          <w:tcPr>
            <w:tcW w:type="dxa" w:w="3135"/>
          </w:tcPr>
          <w:p>
            <w:r/>
            <w:r>
              <w:rPr>
                <w:rFonts w:ascii="Calibri" w:hAnsi="Calibri"/>
                <w:color w:val="1F2937"/>
                <w:sz w:val="20"/>
              </w:rPr>
              <w:t>1</w:t>
            </w:r>
          </w:p>
        </w:tc>
      </w:tr>
      <w:tr>
        <w:tc>
          <w:tcPr>
            <w:tcW w:type="dxa" w:w="3135"/>
            <w:shd w:fill="F8F9FA"/>
          </w:tcPr>
          <w:p>
            <w:r/>
            <w:r>
              <w:rPr>
                <w:rFonts w:ascii="Calibri" w:hAnsi="Calibri"/>
                <w:color w:val="1F2937"/>
                <w:sz w:val="20"/>
              </w:rPr>
              <w:t>Aannemer(coördinator)</w:t>
            </w:r>
          </w:p>
        </w:tc>
        <w:tc>
          <w:tcPr>
            <w:tcW w:type="dxa" w:w="3135"/>
            <w:shd w:fill="F8F9FA"/>
          </w:tcPr>
          <w:p>
            <w:r/>
            <w:r>
              <w:rPr>
                <w:rFonts w:ascii="Calibri" w:hAnsi="Calibri"/>
                <w:color w:val="1F2937"/>
                <w:sz w:val="20"/>
              </w:rPr>
              <w:t>Externe dienst</w:t>
            </w:r>
          </w:p>
        </w:tc>
        <w:tc>
          <w:tcPr>
            <w:tcW w:type="dxa" w:w="3135"/>
            <w:shd w:fill="F8F9FA"/>
          </w:tcPr>
          <w:p>
            <w:r/>
            <w:r>
              <w:rPr>
                <w:rFonts w:ascii="Calibri" w:hAnsi="Calibri"/>
                <w:color w:val="1F2937"/>
                <w:sz w:val="20"/>
              </w:rPr>
              <w:t>1</w:t>
            </w:r>
          </w:p>
        </w:tc>
      </w:tr>
      <w:tr>
        <w:tc>
          <w:tcPr>
            <w:tcW w:type="dxa" w:w="3135"/>
          </w:tcPr>
          <w:p>
            <w:r/>
            <w:r>
              <w:rPr>
                <w:rFonts w:ascii="Calibri" w:hAnsi="Calibri"/>
                <w:color w:val="1F2937"/>
                <w:sz w:val="20"/>
              </w:rPr>
              <w:t>Bedrijfsnoodorganisatie</w:t>
            </w:r>
          </w:p>
        </w:tc>
        <w:tc>
          <w:tcPr>
            <w:tcW w:type="dxa" w:w="3135"/>
          </w:tcPr>
          <w:p>
            <w:r/>
            <w:r>
              <w:rPr>
                <w:rFonts w:ascii="Calibri" w:hAnsi="Calibri"/>
                <w:color w:val="1F2937"/>
                <w:sz w:val="20"/>
              </w:rPr>
              <w:t>BNMO</w:t>
            </w:r>
          </w:p>
        </w:tc>
        <w:tc>
          <w:tcPr>
            <w:tcW w:type="dxa" w:w="3135"/>
          </w:tcPr>
          <w:p>
            <w:r/>
            <w:r>
              <w:rPr>
                <w:rFonts w:ascii="Calibri" w:hAnsi="Calibri"/>
                <w:color w:val="1F2937"/>
                <w:sz w:val="20"/>
              </w:rPr>
              <w:t>1</w:t>
            </w:r>
          </w:p>
        </w:tc>
      </w:tr>
    </w:tbl>
    <w:p>
      <w:pPr>
        <w:pStyle w:val="Heading2"/>
      </w:pPr>
      <w:r>
        <w:t>1.3 Autorisatie</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Calibri" w:hAnsi="Calibri"/>
                <w:b/>
                <w:color w:val="FFFFFF"/>
                <w:sz w:val="20"/>
              </w:rPr>
              <w:t>Rol</w:t>
            </w:r>
          </w:p>
        </w:tc>
        <w:tc>
          <w:tcPr>
            <w:tcW w:type="dxa" w:w="2351"/>
            <w:shd w:fill="003366"/>
          </w:tcPr>
          <w:p>
            <w:r/>
            <w:r>
              <w:rPr>
                <w:rFonts w:ascii="Calibri" w:hAnsi="Calibri"/>
                <w:b/>
                <w:color w:val="FFFFFF"/>
                <w:sz w:val="20"/>
              </w:rPr>
              <w:t>Naam</w:t>
            </w:r>
          </w:p>
        </w:tc>
        <w:tc>
          <w:tcPr>
            <w:tcW w:type="dxa" w:w="2351"/>
            <w:shd w:fill="003366"/>
          </w:tcPr>
          <w:p>
            <w:r/>
            <w:r>
              <w:rPr>
                <w:rFonts w:ascii="Calibri" w:hAnsi="Calibri"/>
                <w:b/>
                <w:color w:val="FFFFFF"/>
                <w:sz w:val="20"/>
              </w:rPr>
              <w:t>Datum</w:t>
            </w:r>
          </w:p>
        </w:tc>
        <w:tc>
          <w:tcPr>
            <w:tcW w:type="dxa" w:w="2351"/>
            <w:shd w:fill="003366"/>
          </w:tcPr>
          <w:p>
            <w:r/>
            <w:r>
              <w:rPr>
                <w:rFonts w:ascii="Calibri" w:hAnsi="Calibri"/>
                <w:b/>
                <w:color w:val="FFFFFF"/>
                <w:sz w:val="20"/>
              </w:rPr>
              <w:t>Handtekening</w:t>
            </w:r>
          </w:p>
        </w:tc>
      </w:tr>
      <w:tr>
        <w:tc>
          <w:tcPr>
            <w:tcW w:type="dxa" w:w="2351"/>
          </w:tcPr>
          <w:p>
            <w:r/>
            <w:r>
              <w:rPr>
                <w:rFonts w:ascii="Calibri" w:hAnsi="Calibri"/>
                <w:color w:val="1F2937"/>
                <w:sz w:val="20"/>
              </w:rPr>
              <w:t>Opgesteld</w:t>
            </w:r>
          </w:p>
        </w:tc>
        <w:tc>
          <w:tcPr>
            <w:tcW w:type="dxa" w:w="2351"/>
          </w:tcPr>
          <w:p>
            <w:r/>
            <w:r>
              <w:rPr>
                <w:rFonts w:ascii="Calibri" w:hAnsi="Calibri"/>
                <w:color w:val="1F2937"/>
                <w:sz w:val="20"/>
              </w:rPr>
              <w:t>HQ_04 Technical Writer</w:t>
            </w:r>
          </w:p>
        </w:tc>
        <w:tc>
          <w:tcPr>
            <w:tcW w:type="dxa" w:w="2351"/>
          </w:tcPr>
          <w:p>
            <w:r/>
            <w:r>
              <w:rPr>
                <w:rFonts w:ascii="Calibri" w:hAnsi="Calibri"/>
                <w:color w:val="1F2937"/>
                <w:sz w:val="20"/>
              </w:rPr>
              <w:t>2026-04-29</w:t>
            </w:r>
          </w:p>
        </w:tc>
        <w:tc>
          <w:tcPr>
            <w:tcW w:type="dxa" w:w="2351"/>
          </w:tcPr>
          <w:p>
            <w:r/>
            <w:r>
              <w:rPr>
                <w:rFonts w:ascii="Calibri" w:hAnsi="Calibri"/>
                <w:color w:val="1F2937"/>
                <w:sz w:val="20"/>
              </w:rPr>
            </w:r>
          </w:p>
        </w:tc>
      </w:tr>
      <w:tr>
        <w:tc>
          <w:tcPr>
            <w:tcW w:type="dxa" w:w="2351"/>
            <w:shd w:fill="F8F9FA"/>
          </w:tcPr>
          <w:p>
            <w:r/>
            <w:r>
              <w:rPr>
                <w:rFonts w:ascii="Calibri" w:hAnsi="Calibri"/>
                <w:color w:val="1F2937"/>
                <w:sz w:val="20"/>
              </w:rPr>
              <w:t>Gecontroleerd</w:t>
            </w:r>
          </w:p>
        </w:tc>
        <w:tc>
          <w:tcPr>
            <w:tcW w:type="dxa" w:w="2351"/>
            <w:shd w:fill="F8F9FA"/>
          </w:tcPr>
          <w:p>
            <w:r/>
            <w:r>
              <w:rPr>
                <w:rFonts w:ascii="Calibri" w:hAnsi="Calibri"/>
                <w:color w:val="1F2937"/>
                <w:sz w:val="20"/>
              </w:rPr>
              <w:t>HSEQ Manager</w:t>
            </w:r>
          </w:p>
        </w:tc>
        <w:tc>
          <w:tcPr>
            <w:tcW w:type="dxa" w:w="2351"/>
            <w:shd w:fill="F8F9FA"/>
          </w:tcPr>
          <w:p>
            <w:r/>
            <w:r>
              <w:rPr>
                <w:rFonts w:ascii="Calibri" w:hAnsi="Calibri"/>
                <w:color w:val="1F2937"/>
                <w:sz w:val="20"/>
              </w:rPr>
            </w:r>
          </w:p>
        </w:tc>
        <w:tc>
          <w:tcPr>
            <w:tcW w:type="dxa" w:w="2351"/>
            <w:shd w:fill="F8F9FA"/>
          </w:tcPr>
          <w:p>
            <w:r/>
            <w:r>
              <w:rPr>
                <w:rFonts w:ascii="Calibri" w:hAnsi="Calibri"/>
                <w:color w:val="1F2937"/>
                <w:sz w:val="20"/>
              </w:rPr>
            </w:r>
          </w:p>
        </w:tc>
      </w:tr>
      <w:tr>
        <w:tc>
          <w:tcPr>
            <w:tcW w:type="dxa" w:w="2351"/>
          </w:tcPr>
          <w:p>
            <w:r/>
            <w:r>
              <w:rPr>
                <w:rFonts w:ascii="Calibri" w:hAnsi="Calibri"/>
                <w:color w:val="1F2937"/>
                <w:sz w:val="20"/>
              </w:rPr>
              <w:t>Goedgekeurd</w:t>
            </w:r>
          </w:p>
        </w:tc>
        <w:tc>
          <w:tcPr>
            <w:tcW w:type="dxa" w:w="2351"/>
          </w:tcPr>
          <w:p>
            <w:r/>
            <w:r>
              <w:rPr>
                <w:rFonts w:ascii="Calibri" w:hAnsi="Calibri"/>
                <w:color w:val="1F2937"/>
                <w:sz w:val="20"/>
              </w:rPr>
              <w:t>Operations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r>
    </w:tbl>
    <w:p>
      <w:r>
        <w:br w:type="page"/>
      </w:r>
    </w:p>
    <w:p>
      <w:pPr>
        <w:pStyle w:val="Heading1"/>
      </w:pPr>
      <w:r>
        <w:t>2. Doel en Toepassingsgebied</w:t>
      </w:r>
    </w:p>
    <w:p>
      <w:pPr>
        <w:pStyle w:val="Heading2"/>
      </w:pPr>
      <w:r>
        <w:t>2.1 Doel</w:t>
      </w:r>
    </w:p>
    <w:p>
      <w:r>
        <w:t>Deze procedure definieert het gestructureerde werkvergunningensysteem (Permit to Work, PtW) voor alle veiligheid-kritieke werkzaamheden bij Phoenix Metals. Het systeem waarborgt dat elke taak vóór uitvoering wordt geïdentificeerd, risicogeanalyseerd en voorzien van adequate beheersmaatregelen. Referentie: PE-290-01 [3].</w:t>
      </w:r>
    </w:p>
    <w:p>
      <w:r>
        <w:t>Het Control of Work (CoW) systeem integreert Task Risk Assessment (TRA), werkvergunningen, Lock-Out/Tag-Out (LOTO) en overbruggingsprotocollen tot één samenhangend kader. Dit voldoet aan de eisen van BRZO 2015, Artikel 7 [1] en NTA 8620 [2].</w:t>
      </w:r>
    </w:p>
    <w:p>
      <w:pPr>
        <w:pStyle w:val="Heading2"/>
      </w:pPr>
      <w:r>
        <w:t>2.2 Scope</w:t>
      </w:r>
    </w:p>
    <w:p>
      <w:r>
        <w:t>Deze procedure is van toepassing op alle locaties van Phoenix Metals (inclusief de pilot/demo plant te IJmuiden), alle medewerkers, alle aannemers en alle derden die veiligheid-kritieke werkzaamheden uitvoeren. Dit omvat onderhoud, modificaties, inspecties, constructie en demolitiewerkzaamheden [5].</w:t>
      </w:r>
    </w:p>
    <w:p>
      <w:r>
        <w:br w:type="page"/>
      </w:r>
    </w:p>
    <w:p>
      <w:pPr>
        <w:pStyle w:val="Heading1"/>
      </w:pPr>
      <w:r>
        <w:t>3. Wettelijk Kader</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Calibri" w:hAnsi="Calibri"/>
                <w:b/>
                <w:color w:val="FFFFFF"/>
                <w:sz w:val="20"/>
              </w:rPr>
              <w:t>Wetgeving</w:t>
            </w:r>
          </w:p>
        </w:tc>
        <w:tc>
          <w:tcPr>
            <w:tcW w:type="dxa" w:w="3135"/>
            <w:shd w:fill="003366"/>
          </w:tcPr>
          <w:p>
            <w:r/>
            <w:r>
              <w:rPr>
                <w:rFonts w:ascii="Calibri" w:hAnsi="Calibri"/>
                <w:b/>
                <w:color w:val="FFFFFF"/>
                <w:sz w:val="20"/>
              </w:rPr>
              <w:t>Artikel/Paragraaf</w:t>
            </w:r>
          </w:p>
        </w:tc>
        <w:tc>
          <w:tcPr>
            <w:tcW w:type="dxa" w:w="3135"/>
            <w:shd w:fill="003366"/>
          </w:tcPr>
          <w:p>
            <w:r/>
            <w:r>
              <w:rPr>
                <w:rFonts w:ascii="Calibri" w:hAnsi="Calibri"/>
                <w:b/>
                <w:color w:val="FFFFFF"/>
                <w:sz w:val="20"/>
              </w:rPr>
              <w:t>Relevantie</w:t>
            </w:r>
          </w:p>
        </w:tc>
      </w:tr>
      <w:tr>
        <w:tc>
          <w:tcPr>
            <w:tcW w:type="dxa" w:w="3135"/>
          </w:tcPr>
          <w:p>
            <w:r/>
            <w:r>
              <w:rPr>
                <w:rFonts w:ascii="Calibri" w:hAnsi="Calibri"/>
                <w:color w:val="1F2937"/>
                <w:sz w:val="20"/>
              </w:rPr>
              <w:t>BRZO 2015</w:t>
            </w:r>
          </w:p>
        </w:tc>
        <w:tc>
          <w:tcPr>
            <w:tcW w:type="dxa" w:w="3135"/>
          </w:tcPr>
          <w:p>
            <w:r/>
            <w:r>
              <w:rPr>
                <w:rFonts w:ascii="Calibri" w:hAnsi="Calibri"/>
                <w:color w:val="1F2937"/>
                <w:sz w:val="20"/>
              </w:rPr>
              <w:t>Art. 7 (Element IV)</w:t>
            </w:r>
          </w:p>
        </w:tc>
        <w:tc>
          <w:tcPr>
            <w:tcW w:type="dxa" w:w="3135"/>
          </w:tcPr>
          <w:p>
            <w:r/>
            <w:r>
              <w:rPr>
                <w:rFonts w:ascii="Calibri" w:hAnsi="Calibri"/>
                <w:color w:val="1F2937"/>
                <w:sz w:val="20"/>
              </w:rPr>
              <w:t>Operationele procedures, werkvergunningensysteem, manipulaties [1]</w:t>
            </w:r>
          </w:p>
        </w:tc>
      </w:tr>
      <w:tr>
        <w:tc>
          <w:tcPr>
            <w:tcW w:type="dxa" w:w="3135"/>
            <w:shd w:fill="F8F9FA"/>
          </w:tcPr>
          <w:p>
            <w:r/>
            <w:r>
              <w:rPr>
                <w:rFonts w:ascii="Calibri" w:hAnsi="Calibri"/>
                <w:color w:val="1F2937"/>
                <w:sz w:val="20"/>
              </w:rPr>
              <w:t>Seveso III (2012/18/EU)</w:t>
            </w:r>
          </w:p>
        </w:tc>
        <w:tc>
          <w:tcPr>
            <w:tcW w:type="dxa" w:w="3135"/>
            <w:shd w:fill="F8F9FA"/>
          </w:tcPr>
          <w:p>
            <w:r/>
            <w:r>
              <w:rPr>
                <w:rFonts w:ascii="Calibri" w:hAnsi="Calibri"/>
                <w:color w:val="1F2937"/>
                <w:sz w:val="20"/>
              </w:rPr>
              <w:t>Art. 12</w:t>
            </w:r>
          </w:p>
        </w:tc>
        <w:tc>
          <w:tcPr>
            <w:tcW w:type="dxa" w:w="3135"/>
            <w:shd w:fill="F8F9FA"/>
          </w:tcPr>
          <w:p>
            <w:r/>
            <w:r>
              <w:rPr>
                <w:rFonts w:ascii="Calibri" w:hAnsi="Calibri"/>
                <w:color w:val="1F2937"/>
                <w:sz w:val="20"/>
              </w:rPr>
              <w:t>Preventiebeleid en MGS voor Seveso-inrichtingen [1]</w:t>
            </w:r>
          </w:p>
        </w:tc>
      </w:tr>
      <w:tr>
        <w:tc>
          <w:tcPr>
            <w:tcW w:type="dxa" w:w="3135"/>
          </w:tcPr>
          <w:p>
            <w:r/>
            <w:r>
              <w:rPr>
                <w:rFonts w:ascii="Calibri" w:hAnsi="Calibri"/>
                <w:color w:val="1F2937"/>
                <w:sz w:val="20"/>
              </w:rPr>
              <w:t>NTA 8620</w:t>
            </w:r>
          </w:p>
        </w:tc>
        <w:tc>
          <w:tcPr>
            <w:tcW w:type="dxa" w:w="3135"/>
          </w:tcPr>
          <w:p>
            <w:r/>
            <w:r>
              <w:rPr>
                <w:rFonts w:ascii="Calibri" w:hAnsi="Calibri"/>
                <w:color w:val="1F2937"/>
                <w:sz w:val="20"/>
              </w:rPr>
              <w:t>Hoofdstuk 6</w:t>
            </w:r>
          </w:p>
        </w:tc>
        <w:tc>
          <w:tcPr>
            <w:tcW w:type="dxa" w:w="3135"/>
          </w:tcPr>
          <w:p>
            <w:r/>
            <w:r>
              <w:rPr>
                <w:rFonts w:ascii="Calibri" w:hAnsi="Calibri"/>
                <w:color w:val="1F2937"/>
                <w:sz w:val="20"/>
              </w:rPr>
              <w:t>Controle op de exploitatie: CoW, TRA, LOTO [2]</w:t>
            </w:r>
          </w:p>
        </w:tc>
      </w:tr>
      <w:tr>
        <w:tc>
          <w:tcPr>
            <w:tcW w:type="dxa" w:w="3135"/>
            <w:shd w:fill="F8F9FA"/>
          </w:tcPr>
          <w:p>
            <w:r/>
            <w:r>
              <w:rPr>
                <w:rFonts w:ascii="Calibri" w:hAnsi="Calibri"/>
                <w:color w:val="1F2937"/>
                <w:sz w:val="20"/>
              </w:rPr>
              <w:t>Arbowet / Arbobesluit</w:t>
            </w:r>
          </w:p>
        </w:tc>
        <w:tc>
          <w:tcPr>
            <w:tcW w:type="dxa" w:w="3135"/>
            <w:shd w:fill="F8F9FA"/>
          </w:tcPr>
          <w:p>
            <w:r/>
            <w:r>
              <w:rPr>
                <w:rFonts w:ascii="Calibri" w:hAnsi="Calibri"/>
                <w:color w:val="1F2937"/>
                <w:sz w:val="20"/>
              </w:rPr>
              <w:t>Diverse</w:t>
            </w:r>
          </w:p>
        </w:tc>
        <w:tc>
          <w:tcPr>
            <w:tcW w:type="dxa" w:w="3135"/>
            <w:shd w:fill="F8F9FA"/>
          </w:tcPr>
          <w:p>
            <w:r/>
            <w:r>
              <w:rPr>
                <w:rFonts w:ascii="Calibri" w:hAnsi="Calibri"/>
                <w:color w:val="1F2937"/>
                <w:sz w:val="20"/>
              </w:rPr>
              <w:t>Algemene veiligheid, werken op hoogte, heet werk [4]</w:t>
            </w:r>
          </w:p>
        </w:tc>
      </w:tr>
      <w:tr>
        <w:tc>
          <w:tcPr>
            <w:tcW w:type="dxa" w:w="3135"/>
          </w:tcPr>
          <w:p>
            <w:r/>
            <w:r>
              <w:rPr>
                <w:rFonts w:ascii="Calibri" w:hAnsi="Calibri"/>
                <w:color w:val="1F2937"/>
                <w:sz w:val="20"/>
              </w:rPr>
              <w:t>PGS 15</w:t>
            </w:r>
          </w:p>
        </w:tc>
        <w:tc>
          <w:tcPr>
            <w:tcW w:type="dxa" w:w="3135"/>
          </w:tcPr>
          <w:p>
            <w:r/>
            <w:r>
              <w:rPr>
                <w:rFonts w:ascii="Calibri" w:hAnsi="Calibri"/>
                <w:color w:val="1F2937"/>
                <w:sz w:val="20"/>
              </w:rPr>
              <w:t>Volledig</w:t>
            </w:r>
          </w:p>
        </w:tc>
        <w:tc>
          <w:tcPr>
            <w:tcW w:type="dxa" w:w="3135"/>
          </w:tcPr>
          <w:p>
            <w:r/>
            <w:r>
              <w:rPr>
                <w:rFonts w:ascii="Calibri" w:hAnsi="Calibri"/>
                <w:color w:val="1F2937"/>
                <w:sz w:val="20"/>
              </w:rPr>
              <w:t>Opslag gevaarlijke stoffen — vergunningsvereisten [4]</w:t>
            </w:r>
          </w:p>
        </w:tc>
      </w:tr>
      <w:tr>
        <w:tc>
          <w:tcPr>
            <w:tcW w:type="dxa" w:w="3135"/>
            <w:shd w:fill="F8F9FA"/>
          </w:tcPr>
          <w:p>
            <w:r/>
            <w:r>
              <w:rPr>
                <w:rFonts w:ascii="Calibri" w:hAnsi="Calibri"/>
                <w:color w:val="1F2937"/>
                <w:sz w:val="20"/>
              </w:rPr>
              <w:t>ATEX 137/114</w:t>
            </w:r>
          </w:p>
        </w:tc>
        <w:tc>
          <w:tcPr>
            <w:tcW w:type="dxa" w:w="3135"/>
            <w:shd w:fill="F8F9FA"/>
          </w:tcPr>
          <w:p>
            <w:r/>
            <w:r>
              <w:rPr>
                <w:rFonts w:ascii="Calibri" w:hAnsi="Calibri"/>
                <w:color w:val="1F2937"/>
                <w:sz w:val="20"/>
              </w:rPr>
              <w:t>Zones</w:t>
            </w:r>
          </w:p>
        </w:tc>
        <w:tc>
          <w:tcPr>
            <w:tcW w:type="dxa" w:w="3135"/>
            <w:shd w:fill="F8F9FA"/>
          </w:tcPr>
          <w:p>
            <w:r/>
            <w:r>
              <w:rPr>
                <w:rFonts w:ascii="Calibri" w:hAnsi="Calibri"/>
                <w:color w:val="1F2937"/>
                <w:sz w:val="20"/>
              </w:rPr>
              <w:t>Explosieve atmosferen — permit-vereisten per zone [4]</w:t>
            </w:r>
          </w:p>
        </w:tc>
      </w:tr>
    </w:tbl>
    <w:p>
      <w:r>
        <w:br w:type="page"/>
      </w:r>
    </w:p>
    <w:p>
      <w:pPr>
        <w:pStyle w:val="Heading1"/>
      </w:pPr>
      <w:r>
        <w:t>4. Definities en Afkortingen</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Term</w:t>
            </w:r>
          </w:p>
        </w:tc>
        <w:tc>
          <w:tcPr>
            <w:tcW w:type="dxa" w:w="4703"/>
            <w:shd w:fill="003366"/>
          </w:tcPr>
          <w:p>
            <w:r/>
            <w:r>
              <w:rPr>
                <w:rFonts w:ascii="Calibri" w:hAnsi="Calibri"/>
                <w:b/>
                <w:color w:val="FFFFFF"/>
                <w:sz w:val="20"/>
              </w:rPr>
              <w:t>Definitie</w:t>
            </w:r>
          </w:p>
        </w:tc>
      </w:tr>
      <w:tr>
        <w:tc>
          <w:tcPr>
            <w:tcW w:type="dxa" w:w="4703"/>
          </w:tcPr>
          <w:p>
            <w:r/>
            <w:r>
              <w:rPr>
                <w:rFonts w:ascii="Calibri" w:hAnsi="Calibri"/>
                <w:color w:val="1F2937"/>
                <w:sz w:val="20"/>
              </w:rPr>
              <w:t>Control of Work (CoW)</w:t>
            </w:r>
          </w:p>
        </w:tc>
        <w:tc>
          <w:tcPr>
            <w:tcW w:type="dxa" w:w="4703"/>
          </w:tcPr>
          <w:p>
            <w:r/>
            <w:r>
              <w:rPr>
                <w:rFonts w:ascii="Calibri" w:hAnsi="Calibri"/>
                <w:color w:val="1F2937"/>
                <w:sz w:val="20"/>
              </w:rPr>
              <w:t>Overkoepelend systeem voor het veilig beheren van alle veiligheid-kritieke werkzaamheden via een gestructureerd proces van identificatie, risicoanalyse, vergunning en uitvoering.</w:t>
            </w:r>
          </w:p>
        </w:tc>
      </w:tr>
      <w:tr>
        <w:tc>
          <w:tcPr>
            <w:tcW w:type="dxa" w:w="4703"/>
            <w:shd w:fill="F8F9FA"/>
          </w:tcPr>
          <w:p>
            <w:r/>
            <w:r>
              <w:rPr>
                <w:rFonts w:ascii="Calibri" w:hAnsi="Calibri"/>
                <w:color w:val="1F2937"/>
                <w:sz w:val="20"/>
              </w:rPr>
              <w:t>Permit to Work (PtW)</w:t>
            </w:r>
          </w:p>
        </w:tc>
        <w:tc>
          <w:tcPr>
            <w:tcW w:type="dxa" w:w="4703"/>
            <w:shd w:fill="F8F9FA"/>
          </w:tcPr>
          <w:p>
            <w:r/>
            <w:r>
              <w:rPr>
                <w:rFonts w:ascii="Calibri" w:hAnsi="Calibri"/>
                <w:color w:val="1F2937"/>
                <w:sz w:val="20"/>
              </w:rPr>
              <w:t>Formeel document dat toestemming verleent voor het uitvoeren van specifieke werkzaamheden onder gedefinieerde voorwaarden en beheersmaatregelen.</w:t>
            </w:r>
          </w:p>
        </w:tc>
      </w:tr>
      <w:tr>
        <w:tc>
          <w:tcPr>
            <w:tcW w:type="dxa" w:w="4703"/>
          </w:tcPr>
          <w:p>
            <w:r/>
            <w:r>
              <w:rPr>
                <w:rFonts w:ascii="Calibri" w:hAnsi="Calibri"/>
                <w:color w:val="1F2937"/>
                <w:sz w:val="20"/>
              </w:rPr>
              <w:t>Task Risk Assessment (TRA)</w:t>
            </w:r>
          </w:p>
        </w:tc>
        <w:tc>
          <w:tcPr>
            <w:tcW w:type="dxa" w:w="4703"/>
          </w:tcPr>
          <w:p>
            <w:r/>
            <w:r>
              <w:rPr>
                <w:rFonts w:ascii="Calibri" w:hAnsi="Calibri"/>
                <w:color w:val="1F2937"/>
                <w:sz w:val="20"/>
              </w:rPr>
              <w:t>Gestructureerde risicoanalyse die vóór elke taak wordt uitgevoerd om gevaren te identificeren en beheersmaatregelen te definiëren.</w:t>
            </w:r>
          </w:p>
        </w:tc>
      </w:tr>
      <w:tr>
        <w:tc>
          <w:tcPr>
            <w:tcW w:type="dxa" w:w="4703"/>
            <w:shd w:fill="F8F9FA"/>
          </w:tcPr>
          <w:p>
            <w:r/>
            <w:r>
              <w:rPr>
                <w:rFonts w:ascii="Calibri" w:hAnsi="Calibri"/>
                <w:color w:val="1F2937"/>
                <w:sz w:val="20"/>
              </w:rPr>
              <w:t>Lock-Out/Tag-Out (LOTO)</w:t>
            </w:r>
          </w:p>
        </w:tc>
        <w:tc>
          <w:tcPr>
            <w:tcW w:type="dxa" w:w="4703"/>
            <w:shd w:fill="F8F9FA"/>
          </w:tcPr>
          <w:p>
            <w:r/>
            <w:r>
              <w:rPr>
                <w:rFonts w:ascii="Calibri" w:hAnsi="Calibri"/>
                <w:color w:val="1F2937"/>
                <w:sz w:val="20"/>
              </w:rPr>
              <w:t>Procedure voor het fysiek uitschakelen, vergrendelen en kenmerken van energiebronnen om onbedoelde inschakeling tijdens onderhoud te voorkomen.</w:t>
            </w:r>
          </w:p>
        </w:tc>
      </w:tr>
      <w:tr>
        <w:tc>
          <w:tcPr>
            <w:tcW w:type="dxa" w:w="4703"/>
          </w:tcPr>
          <w:p>
            <w:r/>
            <w:r>
              <w:rPr>
                <w:rFonts w:ascii="Calibri" w:hAnsi="Calibri"/>
                <w:color w:val="1F2937"/>
                <w:sz w:val="20"/>
              </w:rPr>
              <w:t>Isolatie</w:t>
            </w:r>
          </w:p>
        </w:tc>
        <w:tc>
          <w:tcPr>
            <w:tcW w:type="dxa" w:w="4703"/>
          </w:tcPr>
          <w:p>
            <w:r/>
            <w:r>
              <w:rPr>
                <w:rFonts w:ascii="Calibri" w:hAnsi="Calibri"/>
                <w:color w:val="1F2937"/>
                <w:sz w:val="20"/>
              </w:rPr>
              <w:t>Fysieke scheiding van een energiesysteem of processtroom door middel van blindflensen, afsluiters of andere middelen.</w:t>
            </w:r>
          </w:p>
        </w:tc>
      </w:tr>
      <w:tr>
        <w:tc>
          <w:tcPr>
            <w:tcW w:type="dxa" w:w="4703"/>
            <w:shd w:fill="F8F9FA"/>
          </w:tcPr>
          <w:p>
            <w:r/>
            <w:r>
              <w:rPr>
                <w:rFonts w:ascii="Calibri" w:hAnsi="Calibri"/>
                <w:color w:val="1F2937"/>
                <w:sz w:val="20"/>
              </w:rPr>
              <w:t>Competentie</w:t>
            </w:r>
          </w:p>
        </w:tc>
        <w:tc>
          <w:tcPr>
            <w:tcW w:type="dxa" w:w="4703"/>
            <w:shd w:fill="F8F9FA"/>
          </w:tcPr>
          <w:p>
            <w:r/>
            <w:r>
              <w:rPr>
                <w:rFonts w:ascii="Calibri" w:hAnsi="Calibri"/>
                <w:color w:val="1F2937"/>
                <w:sz w:val="20"/>
              </w:rPr>
              <w:t>De combinatie van kennis, vaardigheden en ervaring die vereist is om een taak veilig en effectief uit te voeren.</w:t>
            </w:r>
          </w:p>
        </w:tc>
      </w:tr>
      <w:tr>
        <w:tc>
          <w:tcPr>
            <w:tcW w:type="dxa" w:w="4703"/>
          </w:tcPr>
          <w:p>
            <w:r/>
            <w:r>
              <w:rPr>
                <w:rFonts w:ascii="Calibri" w:hAnsi="Calibri"/>
                <w:color w:val="1F2937"/>
                <w:sz w:val="20"/>
              </w:rPr>
              <w:t>Fire Watch / Brandwacht</w:t>
            </w:r>
          </w:p>
        </w:tc>
        <w:tc>
          <w:tcPr>
            <w:tcW w:type="dxa" w:w="4703"/>
          </w:tcPr>
          <w:p>
            <w:r/>
            <w:r>
              <w:rPr>
                <w:rFonts w:ascii="Calibri" w:hAnsi="Calibri"/>
                <w:color w:val="1F2937"/>
                <w:sz w:val="20"/>
              </w:rPr>
              <w:t>Toegewezen persoon die gedurende en na heet werk de werkomgeving monitort op brandgevaar (minimaal 60 minuten na afloop).</w:t>
            </w:r>
          </w:p>
        </w:tc>
      </w:tr>
      <w:tr>
        <w:tc>
          <w:tcPr>
            <w:tcW w:type="dxa" w:w="4703"/>
            <w:shd w:fill="F8F9FA"/>
          </w:tcPr>
          <w:p>
            <w:r/>
            <w:r>
              <w:rPr>
                <w:rFonts w:ascii="Calibri" w:hAnsi="Calibri"/>
                <w:color w:val="1F2937"/>
                <w:sz w:val="20"/>
              </w:rPr>
              <w:t>Gasmeting</w:t>
            </w:r>
          </w:p>
        </w:tc>
        <w:tc>
          <w:tcPr>
            <w:tcW w:type="dxa" w:w="4703"/>
            <w:shd w:fill="F8F9FA"/>
          </w:tcPr>
          <w:p>
            <w:r/>
            <w:r>
              <w:rPr>
                <w:rFonts w:ascii="Calibri" w:hAnsi="Calibri"/>
                <w:color w:val="1F2937"/>
                <w:sz w:val="20"/>
              </w:rPr>
              <w:t>Meting van de atmosfeer op zuurstofgehalte, explosieve gassen (LEL) en giftige stoffen vóór en tijdens werkzaamheden in besloten ruimtes of bij heet werk.</w:t>
            </w:r>
          </w:p>
        </w:tc>
      </w:tr>
      <w:tr>
        <w:tc>
          <w:tcPr>
            <w:tcW w:type="dxa" w:w="4703"/>
          </w:tcPr>
          <w:p>
            <w:r/>
            <w:r>
              <w:rPr>
                <w:rFonts w:ascii="Calibri" w:hAnsi="Calibri"/>
                <w:color w:val="1F2937"/>
                <w:sz w:val="20"/>
              </w:rPr>
              <w:t>Besloten Ruimte (Confined Space)</w:t>
            </w:r>
          </w:p>
        </w:tc>
        <w:tc>
          <w:tcPr>
            <w:tcW w:type="dxa" w:w="4703"/>
          </w:tcPr>
          <w:p>
            <w:r/>
            <w:r>
              <w:rPr>
                <w:rFonts w:ascii="Calibri" w:hAnsi="Calibri"/>
                <w:color w:val="1F2937"/>
                <w:sz w:val="20"/>
              </w:rPr>
              <w:t>Een ruimte die afgesloten of grotendeels afgesloten is, niet bedoeld voor continue bewoning, en waar specifieke risico's gelden (bijv. tanks, silo's, leidingen).</w:t>
            </w:r>
          </w:p>
        </w:tc>
      </w:tr>
    </w:tbl>
    <w:p>
      <w:r>
        <w:br w:type="page"/>
      </w:r>
    </w:p>
    <w:p>
      <w:pPr>
        <w:pStyle w:val="Heading1"/>
      </w:pPr>
      <w:r>
        <w:t>5. Verantwoordelijkheden (RACI)</w:t>
      </w:r>
    </w:p>
    <w:p>
      <w:r>
        <w:t>Onderstaande RACI-matrix definieert de rollen binnen het CoW-proces. R = Responsible (uitvoering), A = Accountable (eindverantwoordelijk), C = Consulted (geconsulteerd), I = Informed (geïnformeerd).</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1344"/>
            <w:shd w:fill="003366"/>
          </w:tcPr>
          <w:p>
            <w:r/>
            <w:r>
              <w:rPr>
                <w:rFonts w:ascii="Calibri" w:hAnsi="Calibri"/>
                <w:b/>
                <w:color w:val="FFFFFF"/>
                <w:sz w:val="20"/>
              </w:rPr>
              <w:t>Activiteit</w:t>
            </w:r>
          </w:p>
        </w:tc>
        <w:tc>
          <w:tcPr>
            <w:tcW w:type="dxa" w:w="1344"/>
            <w:shd w:fill="003366"/>
          </w:tcPr>
          <w:p>
            <w:r/>
            <w:r>
              <w:rPr>
                <w:rFonts w:ascii="Calibri" w:hAnsi="Calibri"/>
                <w:b/>
                <w:color w:val="FFFFFF"/>
                <w:sz w:val="20"/>
              </w:rPr>
              <w:t>Operations Manager</w:t>
            </w:r>
          </w:p>
        </w:tc>
        <w:tc>
          <w:tcPr>
            <w:tcW w:type="dxa" w:w="1344"/>
            <w:shd w:fill="003366"/>
          </w:tcPr>
          <w:p>
            <w:r/>
            <w:r>
              <w:rPr>
                <w:rFonts w:ascii="Calibri" w:hAnsi="Calibri"/>
                <w:b/>
                <w:color w:val="FFFFFF"/>
                <w:sz w:val="20"/>
              </w:rPr>
              <w:t>HSEQ Manager</w:t>
            </w:r>
          </w:p>
        </w:tc>
        <w:tc>
          <w:tcPr>
            <w:tcW w:type="dxa" w:w="1344"/>
            <w:shd w:fill="003366"/>
          </w:tcPr>
          <w:p>
            <w:r/>
            <w:r>
              <w:rPr>
                <w:rFonts w:ascii="Calibri" w:hAnsi="Calibri"/>
                <w:b/>
                <w:color w:val="FFFFFF"/>
                <w:sz w:val="20"/>
              </w:rPr>
              <w:t>Werkvoorbereider</w:t>
              <w:br/>
              <w:t>(Permit Author)</w:t>
            </w:r>
          </w:p>
        </w:tc>
        <w:tc>
          <w:tcPr>
            <w:tcW w:type="dxa" w:w="1344"/>
            <w:shd w:fill="003366"/>
          </w:tcPr>
          <w:p>
            <w:r/>
            <w:r>
              <w:rPr>
                <w:rFonts w:ascii="Calibri" w:hAnsi="Calibri"/>
                <w:b/>
                <w:color w:val="FFFFFF"/>
                <w:sz w:val="20"/>
              </w:rPr>
              <w:t>Uitvoerder</w:t>
              <w:br/>
              <w:t>(Permit Holder)</w:t>
            </w:r>
          </w:p>
        </w:tc>
        <w:tc>
          <w:tcPr>
            <w:tcW w:type="dxa" w:w="1344"/>
            <w:shd w:fill="003366"/>
          </w:tcPr>
          <w:p>
            <w:r/>
            <w:r>
              <w:rPr>
                <w:rFonts w:ascii="Calibri" w:hAnsi="Calibri"/>
                <w:b/>
                <w:color w:val="FFFFFF"/>
                <w:sz w:val="20"/>
              </w:rPr>
              <w:t>Aannemer</w:t>
            </w:r>
          </w:p>
        </w:tc>
        <w:tc>
          <w:tcPr>
            <w:tcW w:type="dxa" w:w="1344"/>
            <w:shd w:fill="003366"/>
          </w:tcPr>
          <w:p>
            <w:r/>
            <w:r>
              <w:rPr>
                <w:rFonts w:ascii="Calibri" w:hAnsi="Calibri"/>
                <w:b/>
                <w:color w:val="FFFFFF"/>
                <w:sz w:val="20"/>
              </w:rPr>
              <w:t>Bewaker</w:t>
              <w:br/>
              <w:t>(Fire Watch)</w:t>
            </w:r>
          </w:p>
        </w:tc>
      </w:tr>
      <w:tr>
        <w:tc>
          <w:tcPr>
            <w:tcW w:type="dxa" w:w="1344"/>
          </w:tcPr>
          <w:p>
            <w:r/>
            <w:r>
              <w:rPr>
                <w:rFonts w:ascii="Calibri" w:hAnsi="Calibri"/>
                <w:color w:val="1F2937"/>
                <w:sz w:val="20"/>
              </w:rPr>
              <w:t>Taakidentificatie</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I</w:t>
            </w:r>
          </w:p>
        </w:tc>
        <w:tc>
          <w:tcPr>
            <w:tcW w:type="dxa" w:w="1344"/>
          </w:tcPr>
          <w:p>
            <w:r/>
            <w:r>
              <w:rPr>
                <w:rFonts w:ascii="Calibri" w:hAnsi="Calibri"/>
                <w:color w:val="1F2937"/>
                <w:sz w:val="20"/>
              </w:rPr>
              <w:t>R</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TRA uitvoeren</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w:t>
            </w:r>
          </w:p>
        </w:tc>
      </w:tr>
      <w:tr>
        <w:tc>
          <w:tcPr>
            <w:tcW w:type="dxa" w:w="1344"/>
          </w:tcPr>
          <w:p>
            <w:r/>
            <w:r>
              <w:rPr>
                <w:rFonts w:ascii="Calibri" w:hAnsi="Calibri"/>
                <w:color w:val="1F2937"/>
                <w:sz w:val="20"/>
              </w:rPr>
              <w:t>Maatregelen definiëren</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C</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Werkvergunning aanvragen</w:t>
            </w:r>
          </w:p>
        </w:tc>
        <w:tc>
          <w:tcPr>
            <w:tcW w:type="dxa" w:w="1344"/>
            <w:shd w:fill="F8F9FA"/>
          </w:tcPr>
          <w:p>
            <w:r/>
            <w:r>
              <w:rPr>
                <w:rFonts w:ascii="Calibri" w:hAnsi="Calibri"/>
                <w:color w:val="1F2937"/>
                <w:sz w:val="20"/>
              </w:rPr>
              <w:t>A</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w:t>
            </w:r>
          </w:p>
        </w:tc>
      </w:tr>
      <w:tr>
        <w:tc>
          <w:tcPr>
            <w:tcW w:type="dxa" w:w="1344"/>
          </w:tcPr>
          <w:p>
            <w:r/>
            <w:r>
              <w:rPr>
                <w:rFonts w:ascii="Calibri" w:hAnsi="Calibri"/>
                <w:color w:val="1F2937"/>
                <w:sz w:val="20"/>
              </w:rPr>
              <w:t>LOTO/Isolatie uitvoeren</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Goedkeuring vergunning</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w:t>
            </w:r>
          </w:p>
        </w:tc>
      </w:tr>
      <w:tr>
        <w:tc>
          <w:tcPr>
            <w:tcW w:type="dxa" w:w="1344"/>
          </w:tcPr>
          <w:p>
            <w:r/>
            <w:r>
              <w:rPr>
                <w:rFonts w:ascii="Calibri" w:hAnsi="Calibri"/>
                <w:color w:val="1F2937"/>
                <w:sz w:val="20"/>
              </w:rPr>
              <w:t>Toolbox/werkoverleg</w:t>
            </w:r>
          </w:p>
        </w:tc>
        <w:tc>
          <w:tcPr>
            <w:tcW w:type="dxa" w:w="1344"/>
          </w:tcPr>
          <w:p>
            <w:r/>
            <w:r>
              <w:rPr>
                <w:rFonts w:ascii="Calibri" w:hAnsi="Calibri"/>
                <w:color w:val="1F2937"/>
                <w:sz w:val="20"/>
              </w:rPr>
              <w:t>I</w:t>
            </w:r>
          </w:p>
        </w:tc>
        <w:tc>
          <w:tcPr>
            <w:tcW w:type="dxa" w:w="1344"/>
          </w:tcPr>
          <w:p>
            <w:r/>
            <w:r>
              <w:rPr>
                <w:rFonts w:ascii="Calibri" w:hAnsi="Calibri"/>
                <w:color w:val="1F2937"/>
                <w:sz w:val="20"/>
              </w:rPr>
              <w:t>I</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C</w:t>
            </w:r>
          </w:p>
        </w:tc>
      </w:tr>
      <w:tr>
        <w:tc>
          <w:tcPr>
            <w:tcW w:type="dxa" w:w="1344"/>
            <w:shd w:fill="F8F9FA"/>
          </w:tcPr>
          <w:p>
            <w:r/>
            <w:r>
              <w:rPr>
                <w:rFonts w:ascii="Calibri" w:hAnsi="Calibri"/>
                <w:color w:val="1F2937"/>
                <w:sz w:val="20"/>
              </w:rPr>
              <w:t>Uitvoering + monitoring</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r>
      <w:tr>
        <w:tc>
          <w:tcPr>
            <w:tcW w:type="dxa" w:w="1344"/>
          </w:tcPr>
          <w:p>
            <w:r/>
            <w:r>
              <w:rPr>
                <w:rFonts w:ascii="Calibri" w:hAnsi="Calibri"/>
                <w:color w:val="1F2937"/>
                <w:sz w:val="20"/>
              </w:rPr>
              <w:t>Afsluiting vergunning</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I</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Evaluatie + terugkoppeling</w:t>
            </w:r>
          </w:p>
        </w:tc>
        <w:tc>
          <w:tcPr>
            <w:tcW w:type="dxa" w:w="1344"/>
            <w:shd w:fill="F8F9FA"/>
          </w:tcPr>
          <w:p>
            <w:r/>
            <w:r>
              <w:rPr>
                <w:rFonts w:ascii="Calibri" w:hAnsi="Calibri"/>
                <w:color w:val="1F2937"/>
                <w:sz w:val="20"/>
              </w:rPr>
              <w:t>A</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w:t>
            </w:r>
          </w:p>
        </w:tc>
      </w:tr>
    </w:tbl>
    <w:p>
      <w:r>
        <w:br w:type="page"/>
      </w:r>
    </w:p>
    <w:p>
      <w:pPr>
        <w:pStyle w:val="Heading1"/>
      </w:pPr>
      <w:r>
        <w:t>6. Control of Work — Proces Flow</w:t>
      </w:r>
    </w:p>
    <w:p>
      <w:r>
        <w:t>Het CoW-proces bestaat uit tien opeenvolgende stappen. Elke stap moet worden voltooid voordat de volgende stap start. Afwijkingen vereisen expliciete goedkeuring van de Operations Manager.</w:t>
      </w:r>
    </w:p>
    <w:p>
      <w:pPr>
        <w:pStyle w:val="Heading2"/>
      </w:pPr>
      <w:r>
        <w:t>Stap 1: Taakidentificatie en -classificatie</w:t>
      </w:r>
    </w:p>
    <w:p>
      <w:r>
        <w:t>De werkvoorbereider identificeert de voorgenomen werkzaamheden en classificeert deze op basis van risicoprofiel. Classificatiecriteria: hoogte, energieniveau, omgeving (ATEX-zone, besloten ruimte), en type werkzaamheid. Resultaat: taakbeschrijving met initiële risicoclassificatie.</w:t>
      </w:r>
    </w:p>
    <w:p>
      <w:pPr>
        <w:pStyle w:val="Heading2"/>
      </w:pPr>
      <w:r>
        <w:t>Stap 2: Task Risk Assessment (TRA) uitvoeren</w:t>
      </w:r>
    </w:p>
    <w:p>
      <w:r>
        <w:t>Een TRA wordt uitgevoerd door een team van minimaal twee competenten personen, waaronder de uitvoerder. De TRA identificeert gevaren, beoordeelt risico's (volgens de risicomatrix uit Element 2, Document #03) en definieert beheersmaatregelen. TRA-formulieren worden gearchiveerd.</w:t>
      </w:r>
    </w:p>
    <w:p>
      <w:pPr>
        <w:pStyle w:val="Heading2"/>
      </w:pPr>
      <w:r>
        <w:t>Stap 3: Maatregelen definiëren</w:t>
      </w:r>
    </w:p>
    <w:p>
      <w:r>
        <w:t>Beheersmaatregelen worden geselecteerd volgens de hiërarchie: (1) eliminatie → (2) substitutie → (3) technische maatregelen → (4) organisatorische maatregelen → (5) PBM. PBM is altijd de laatste optie, nooit de enige.</w:t>
      </w:r>
    </w:p>
    <w:p>
      <w:pPr>
        <w:pStyle w:val="Heading2"/>
      </w:pPr>
      <w:r>
        <w:t>Stap 4: Werkvergunning aanvragen (Permit to Work)</w:t>
      </w:r>
    </w:p>
    <w:p>
      <w:r>
        <w:t>De werkvoorbereider dient de werkvergunning in bij de bevoegd persoon. De aanvraag bevat: taakbeschrijving, TRA, locatie, tijdsbestek, betrokken personen en vereiste maatregelen. Referentie: PE-290-01 [3].</w:t>
      </w:r>
    </w:p>
    <w:p>
      <w:pPr>
        <w:pStyle w:val="Heading2"/>
      </w:pPr>
      <w:r>
        <w:t>Stap 5: LOTO/Isolatie uitvoeren</w:t>
      </w:r>
    </w:p>
    <w:p>
      <w:pPr>
        <w:pStyle w:val="Heading2"/>
      </w:pPr>
      <w:r>
        <w:rPr>
          <w:color w:val="003366"/>
        </w:rPr>
        <w:t>Noodwerk Vergunningsprocedure</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
              <w:rPr>
                <w:rFonts w:ascii="Calibri" w:hAnsi="Calibri"/>
                <w:b/>
                <w:sz w:val="22"/>
              </w:rPr>
              <w:t>VBS Referentie</w:t>
            </w:r>
          </w:p>
        </w:tc>
        <w:tc>
          <w:tcPr>
            <w:tcW w:type="dxa" w:w="3135"/>
          </w:tcPr>
          <w:p>
            <w:r/>
            <w:r>
              <w:rPr>
                <w:rFonts w:ascii="Calibri" w:hAnsi="Calibri"/>
                <w:b/>
                <w:sz w:val="22"/>
              </w:rPr>
              <w:t>Document</w:t>
            </w:r>
          </w:p>
        </w:tc>
        <w:tc>
          <w:tcPr>
            <w:tcW w:type="dxa" w:w="3135"/>
          </w:tcPr>
          <w:p>
            <w:r/>
            <w:r>
              <w:rPr>
                <w:rFonts w:ascii="Calibri" w:hAnsi="Calibri"/>
                <w:b/>
                <w:sz w:val="22"/>
              </w:rPr>
              <w:t>Koppeling / Beschrijving</w:t>
            </w:r>
          </w:p>
        </w:tc>
      </w:tr>
      <w:tr>
        <w:tc>
          <w:tcPr>
            <w:tcW w:type="dxa" w:w="3135"/>
          </w:tcPr>
          <w:p>
            <w:r/>
            <w:r>
              <w:rPr>
                <w:rFonts w:ascii="Calibri" w:hAnsi="Calibri"/>
                <w:b w:val="0"/>
                <w:sz w:val="22"/>
              </w:rPr>
              <w:t>E4#06</w:t>
            </w:r>
          </w:p>
        </w:tc>
        <w:tc>
          <w:tcPr>
            <w:tcW w:type="dxa" w:w="3135"/>
          </w:tcPr>
          <w:p>
            <w:r/>
            <w:r>
              <w:rPr>
                <w:rFonts w:ascii="Calibri" w:hAnsi="Calibri"/>
                <w:b w:val="0"/>
                <w:sz w:val="22"/>
              </w:rPr>
              <w:t>Noodinspectie &amp; Herstel</w:t>
            </w:r>
          </w:p>
        </w:tc>
        <w:tc>
          <w:tcPr>
            <w:tcW w:type="dxa" w:w="3135"/>
          </w:tcPr>
          <w:p>
            <w:r/>
            <w:r>
              <w:rPr>
                <w:rFonts w:ascii="Calibri" w:hAnsi="Calibri"/>
                <w:b w:val="0"/>
                <w:sz w:val="22"/>
              </w:rPr>
              <w:t>Versneld CoW-proces bij noodherstel; crisisleider kan noodvergunning afgeven</w:t>
            </w:r>
          </w:p>
        </w:tc>
      </w:tr>
    </w:tbl>
    <w:p>
      <w:pPr>
        <w:spacing w:before="120"/>
      </w:pPr>
      <w:r>
        <w:rPr>
          <w:rFonts w:ascii="Calibri" w:hAnsi="Calibri"/>
          <w:sz w:val="22"/>
        </w:rPr>
        <w:t>Bij noodherstel werkt het Control of Work (CoW) systeem versneld. De crisisleider (zie E4#06 Noodinspectie &amp; Herstel) is bevoegd om een noodvergunning af te geven zonder de volledige goedkeuringsketen te doorlopen. Na afloop van het noodherstel wordt de noodvergunning retroactief geëvalueerd en gedocumenteerd.</w:t>
      </w:r>
    </w:p>
    <w:p>
      <w:r>
        <w:t>Indien van toepassing: uitvoeren van Lock-Out/Tag-Out conform het LOTO-protocol (Hoofdstuk 9). Alle energiebronnen worden geïsoleerd, vergrendeld en geverifieerd vóór aanvang werkzaamheden.</w:t>
      </w:r>
    </w:p>
    <w:p>
      <w:pPr>
        <w:pStyle w:val="Heading2"/>
      </w:pPr>
      <w:r>
        <w:t>Stap 6: Goedkeuring door bevoegd persoon</w:t>
      </w:r>
    </w:p>
    <w:p>
      <w:r>
        <w:t>De Operations Manager (of gemandateerde) toetst de aanvraag op volledigheid en adequate risicobeheersing. Bij twijfel wordt de aanvraag terugverwezen met specifieke feedback.</w:t>
      </w:r>
    </w:p>
    <w:p>
      <w:pPr>
        <w:pStyle w:val="Heading2"/>
      </w:pPr>
      <w:r>
        <w:t>Stap 7: Toolbox / werkoverleg</w:t>
      </w:r>
    </w:p>
    <w:p>
      <w:r>
        <w:t>Vóór aanvang voert de uitvoerder een toolbox-meeting met alle betrokkenen. Agenda: taakinhoud, risico's, maatregelen, rolverdeling, noodprocedures en stop-criteria.</w:t>
      </w:r>
    </w:p>
    <w:p>
      <w:pPr>
        <w:pStyle w:val="Heading2"/>
      </w:pPr>
      <w:r>
        <w:t>Stap 8: Uitvoering met monitoring</w:t>
      </w:r>
    </w:p>
    <w:p>
      <w:r>
        <w:t>De uitvoerder start de werkzaamheden conform de vergunning. Monitoring omvat: periodieke controles, gasmetingen (indien vereist), bewaking door brandwacht (indien vereist). Elke afwijking leidt tot onmiddellijke stopzetting.</w:t>
      </w:r>
    </w:p>
    <w:p>
      <w:pPr>
        <w:pStyle w:val="Heading2"/>
      </w:pPr>
      <w:r>
        <w:t>Stap 9: Aftekening en afsluiting</w:t>
      </w:r>
    </w:p>
    <w:p>
      <w:r>
        <w:t>Na voltooiing tekent de uitvoerder de vergunning af. De werkvoorbereider controleert de werkplek (housekeeping, herstel isolaties, verwijdering LOTO) en sluit de vergunning formeel af.</w:t>
      </w:r>
    </w:p>
    <w:p>
      <w:pPr>
        <w:pStyle w:val="Heading2"/>
      </w:pPr>
      <w:r>
        <w:t>Stap 10: Evaluatie en terugkoppeling</w:t>
      </w:r>
    </w:p>
    <w:p>
      <w:r>
        <w:t>De HSEQ Manager organiseert een evaluatie (incidenteel bij complexe taken, periodiek bij routine). Lessons learned worden gedocumenteerd en verwerkt in toekomstige TRA's en werkplegsels.</w:t>
      </w:r>
    </w:p>
    <w:p>
      <w:r>
        <w:br w:type="page"/>
      </w:r>
    </w:p>
    <w:p>
      <w:pPr>
        <w:pStyle w:val="Heading1"/>
      </w:pPr>
      <w:r>
        <w:t>7. Werkvergunning Types</w:t>
      </w:r>
    </w:p>
    <w:p>
      <w:r>
        <w:t>Phoenix Metals hanteert acht werkvergunning types, elk met specifieke vereisten. Combinatievergunningen zijn vereist wanneer werkzaamheden onder meerdere types vallen.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Calibri" w:hAnsi="Calibri"/>
                <w:b/>
                <w:color w:val="FFFFFF"/>
                <w:sz w:val="20"/>
              </w:rPr>
              <w:t>Type</w:t>
            </w:r>
          </w:p>
        </w:tc>
        <w:tc>
          <w:tcPr>
            <w:tcW w:type="dxa" w:w="2351"/>
            <w:shd w:fill="003366"/>
          </w:tcPr>
          <w:p>
            <w:r/>
            <w:r>
              <w:rPr>
                <w:rFonts w:ascii="Calibri" w:hAnsi="Calibri"/>
                <w:b/>
                <w:color w:val="FFFFFF"/>
                <w:sz w:val="20"/>
              </w:rPr>
              <w:t>Code</w:t>
            </w:r>
          </w:p>
        </w:tc>
        <w:tc>
          <w:tcPr>
            <w:tcW w:type="dxa" w:w="2351"/>
            <w:shd w:fill="003366"/>
          </w:tcPr>
          <w:p>
            <w:r/>
            <w:r>
              <w:rPr>
                <w:rFonts w:ascii="Calibri" w:hAnsi="Calibri"/>
                <w:b/>
                <w:color w:val="FFFFFF"/>
                <w:sz w:val="20"/>
              </w:rPr>
              <w:t>Toepassing</w:t>
            </w:r>
          </w:p>
        </w:tc>
        <w:tc>
          <w:tcPr>
            <w:tcW w:type="dxa" w:w="2351"/>
            <w:shd w:fill="003366"/>
          </w:tcPr>
          <w:p>
            <w:r/>
            <w:r>
              <w:rPr>
                <w:rFonts w:ascii="Calibri" w:hAnsi="Calibri"/>
                <w:b/>
                <w:color w:val="FFFFFF"/>
                <w:sz w:val="20"/>
              </w:rPr>
              <w:t>Vereist</w:t>
            </w:r>
          </w:p>
        </w:tc>
      </w:tr>
      <w:tr>
        <w:tc>
          <w:tcPr>
            <w:tcW w:type="dxa" w:w="2351"/>
          </w:tcPr>
          <w:p>
            <w:r/>
            <w:r>
              <w:rPr>
                <w:rFonts w:ascii="Calibri" w:hAnsi="Calibri"/>
                <w:color w:val="1F2937"/>
                <w:sz w:val="20"/>
              </w:rPr>
              <w:t>Algemene werkvergunning</w:t>
            </w:r>
          </w:p>
        </w:tc>
        <w:tc>
          <w:tcPr>
            <w:tcW w:type="dxa" w:w="2351"/>
          </w:tcPr>
          <w:p>
            <w:r/>
            <w:r>
              <w:rPr>
                <w:rFonts w:ascii="Calibri" w:hAnsi="Calibri"/>
                <w:color w:val="1F2937"/>
                <w:sz w:val="20"/>
              </w:rPr>
              <w:t>WV-ALG</w:t>
            </w:r>
          </w:p>
        </w:tc>
        <w:tc>
          <w:tcPr>
            <w:tcW w:type="dxa" w:w="2351"/>
          </w:tcPr>
          <w:p>
            <w:r/>
            <w:r>
              <w:rPr>
                <w:rFonts w:ascii="Calibri" w:hAnsi="Calibri"/>
                <w:color w:val="1F2937"/>
                <w:sz w:val="20"/>
              </w:rPr>
              <w:t>Standaard werkzaamheden</w:t>
            </w:r>
          </w:p>
        </w:tc>
        <w:tc>
          <w:tcPr>
            <w:tcW w:type="dxa" w:w="2351"/>
          </w:tcPr>
          <w:p>
            <w:r/>
            <w:r>
              <w:rPr>
                <w:rFonts w:ascii="Calibri" w:hAnsi="Calibri"/>
                <w:color w:val="1F2937"/>
                <w:sz w:val="20"/>
              </w:rPr>
              <w:t>TRA</w:t>
            </w:r>
          </w:p>
        </w:tc>
      </w:tr>
      <w:tr>
        <w:tc>
          <w:tcPr>
            <w:tcW w:type="dxa" w:w="2351"/>
            <w:shd w:fill="F8F9FA"/>
          </w:tcPr>
          <w:p>
            <w:r/>
            <w:r>
              <w:rPr>
                <w:rFonts w:ascii="Calibri" w:hAnsi="Calibri"/>
                <w:color w:val="1F2937"/>
                <w:sz w:val="20"/>
              </w:rPr>
              <w:t>Heet werk vergunning</w:t>
            </w:r>
          </w:p>
        </w:tc>
        <w:tc>
          <w:tcPr>
            <w:tcW w:type="dxa" w:w="2351"/>
            <w:shd w:fill="F8F9FA"/>
          </w:tcPr>
          <w:p>
            <w:r/>
            <w:r>
              <w:rPr>
                <w:rFonts w:ascii="Calibri" w:hAnsi="Calibri"/>
                <w:color w:val="1F2937"/>
                <w:sz w:val="20"/>
              </w:rPr>
              <w:t>WV-HW</w:t>
            </w:r>
          </w:p>
        </w:tc>
        <w:tc>
          <w:tcPr>
            <w:tcW w:type="dxa" w:w="2351"/>
            <w:shd w:fill="F8F9FA"/>
          </w:tcPr>
          <w:p>
            <w:r/>
            <w:r>
              <w:rPr>
                <w:rFonts w:ascii="Calibri" w:hAnsi="Calibri"/>
                <w:color w:val="1F2937"/>
                <w:sz w:val="20"/>
              </w:rPr>
              <w:t>Lassen, snijden, slijpen</w:t>
            </w:r>
          </w:p>
        </w:tc>
        <w:tc>
          <w:tcPr>
            <w:tcW w:type="dxa" w:w="2351"/>
            <w:shd w:fill="F8F9FA"/>
          </w:tcPr>
          <w:p>
            <w:r/>
            <w:r>
              <w:rPr>
                <w:rFonts w:ascii="Calibri" w:hAnsi="Calibri"/>
                <w:color w:val="1F2937"/>
                <w:sz w:val="20"/>
              </w:rPr>
              <w:t>TRA + brandwacht + gasmeting</w:t>
            </w:r>
          </w:p>
        </w:tc>
      </w:tr>
      <w:tr>
        <w:tc>
          <w:tcPr>
            <w:tcW w:type="dxa" w:w="2351"/>
          </w:tcPr>
          <w:p>
            <w:r/>
            <w:r>
              <w:rPr>
                <w:rFonts w:ascii="Calibri" w:hAnsi="Calibri"/>
                <w:color w:val="1F2937"/>
                <w:sz w:val="20"/>
              </w:rPr>
              <w:t>Werken op hoogte</w:t>
            </w:r>
          </w:p>
        </w:tc>
        <w:tc>
          <w:tcPr>
            <w:tcW w:type="dxa" w:w="2351"/>
          </w:tcPr>
          <w:p>
            <w:r/>
            <w:r>
              <w:rPr>
                <w:rFonts w:ascii="Calibri" w:hAnsi="Calibri"/>
                <w:color w:val="1F2937"/>
                <w:sz w:val="20"/>
              </w:rPr>
              <w:t>WV-HO</w:t>
            </w:r>
          </w:p>
        </w:tc>
        <w:tc>
          <w:tcPr>
            <w:tcW w:type="dxa" w:w="2351"/>
          </w:tcPr>
          <w:p>
            <w:r/>
            <w:r>
              <w:rPr>
                <w:rFonts w:ascii="Calibri" w:hAnsi="Calibri"/>
                <w:color w:val="1F2937"/>
                <w:sz w:val="20"/>
              </w:rPr>
              <w:t>&gt;2 meter hoogte</w:t>
            </w:r>
          </w:p>
        </w:tc>
        <w:tc>
          <w:tcPr>
            <w:tcW w:type="dxa" w:w="2351"/>
          </w:tcPr>
          <w:p>
            <w:r/>
            <w:r>
              <w:rPr>
                <w:rFonts w:ascii="Calibri" w:hAnsi="Calibri"/>
                <w:color w:val="1F2937"/>
                <w:sz w:val="20"/>
              </w:rPr>
              <w:t>TRA + valbeveiliging</w:t>
            </w:r>
          </w:p>
        </w:tc>
      </w:tr>
      <w:tr>
        <w:tc>
          <w:tcPr>
            <w:tcW w:type="dxa" w:w="2351"/>
            <w:shd w:fill="F8F9FA"/>
          </w:tcPr>
          <w:p>
            <w:r/>
            <w:r>
              <w:rPr>
                <w:rFonts w:ascii="Calibri" w:hAnsi="Calibri"/>
                <w:color w:val="1F2937"/>
                <w:sz w:val="20"/>
              </w:rPr>
              <w:t>Besloten ruimte</w:t>
            </w:r>
          </w:p>
        </w:tc>
        <w:tc>
          <w:tcPr>
            <w:tcW w:type="dxa" w:w="2351"/>
            <w:shd w:fill="F8F9FA"/>
          </w:tcPr>
          <w:p>
            <w:r/>
            <w:r>
              <w:rPr>
                <w:rFonts w:ascii="Calibri" w:hAnsi="Calibri"/>
                <w:color w:val="1F2937"/>
                <w:sz w:val="20"/>
              </w:rPr>
              <w:t>WV-BR</w:t>
            </w:r>
          </w:p>
        </w:tc>
        <w:tc>
          <w:tcPr>
            <w:tcW w:type="dxa" w:w="2351"/>
            <w:shd w:fill="F8F9FA"/>
          </w:tcPr>
          <w:p>
            <w:r/>
            <w:r>
              <w:rPr>
                <w:rFonts w:ascii="Calibri" w:hAnsi="Calibri"/>
                <w:color w:val="1F2937"/>
                <w:sz w:val="20"/>
              </w:rPr>
              <w:t>Tank, silo, leiding</w:t>
            </w:r>
          </w:p>
        </w:tc>
        <w:tc>
          <w:tcPr>
            <w:tcW w:type="dxa" w:w="2351"/>
            <w:shd w:fill="F8F9FA"/>
          </w:tcPr>
          <w:p>
            <w:r/>
            <w:r>
              <w:rPr>
                <w:rFonts w:ascii="Calibri" w:hAnsi="Calibri"/>
                <w:color w:val="1F2937"/>
                <w:sz w:val="20"/>
              </w:rPr>
              <w:t>TRA + gasmeting + reddingsteam</w:t>
            </w:r>
          </w:p>
        </w:tc>
      </w:tr>
      <w:tr>
        <w:tc>
          <w:tcPr>
            <w:tcW w:type="dxa" w:w="2351"/>
          </w:tcPr>
          <w:p>
            <w:r/>
            <w:r>
              <w:rPr>
                <w:rFonts w:ascii="Calibri" w:hAnsi="Calibri"/>
                <w:color w:val="1F2937"/>
                <w:sz w:val="20"/>
              </w:rPr>
              <w:t>LOTO vergunning</w:t>
            </w:r>
          </w:p>
        </w:tc>
        <w:tc>
          <w:tcPr>
            <w:tcW w:type="dxa" w:w="2351"/>
          </w:tcPr>
          <w:p>
            <w:r/>
            <w:r>
              <w:rPr>
                <w:rFonts w:ascii="Calibri" w:hAnsi="Calibri"/>
                <w:color w:val="1F2937"/>
                <w:sz w:val="20"/>
              </w:rPr>
              <w:t>WV-LO</w:t>
            </w:r>
          </w:p>
        </w:tc>
        <w:tc>
          <w:tcPr>
            <w:tcW w:type="dxa" w:w="2351"/>
          </w:tcPr>
          <w:p>
            <w:r/>
            <w:r>
              <w:rPr>
                <w:rFonts w:ascii="Calibri" w:hAnsi="Calibri"/>
                <w:color w:val="1F2937"/>
                <w:sz w:val="20"/>
              </w:rPr>
              <w:t>Onderhoud apparatuur</w:t>
            </w:r>
          </w:p>
        </w:tc>
        <w:tc>
          <w:tcPr>
            <w:tcW w:type="dxa" w:w="2351"/>
          </w:tcPr>
          <w:p>
            <w:r/>
            <w:r>
              <w:rPr>
                <w:rFonts w:ascii="Calibri" w:hAnsi="Calibri"/>
                <w:color w:val="1F2937"/>
                <w:sz w:val="20"/>
              </w:rPr>
              <w:t>TRA + isolatieplan</w:t>
            </w:r>
          </w:p>
        </w:tc>
      </w:tr>
      <w:tr>
        <w:tc>
          <w:tcPr>
            <w:tcW w:type="dxa" w:w="2351"/>
            <w:shd w:fill="F8F9FA"/>
          </w:tcPr>
          <w:p>
            <w:r/>
            <w:r>
              <w:rPr>
                <w:rFonts w:ascii="Calibri" w:hAnsi="Calibri"/>
                <w:color w:val="1F2937"/>
                <w:sz w:val="20"/>
              </w:rPr>
              <w:t>Elektrisch werk</w:t>
            </w:r>
          </w:p>
        </w:tc>
        <w:tc>
          <w:tcPr>
            <w:tcW w:type="dxa" w:w="2351"/>
            <w:shd w:fill="F8F9FA"/>
          </w:tcPr>
          <w:p>
            <w:r/>
            <w:r>
              <w:rPr>
                <w:rFonts w:ascii="Calibri" w:hAnsi="Calibri"/>
                <w:color w:val="1F2937"/>
                <w:sz w:val="20"/>
              </w:rPr>
              <w:t>WV-EL</w:t>
            </w:r>
          </w:p>
        </w:tc>
        <w:tc>
          <w:tcPr>
            <w:tcW w:type="dxa" w:w="2351"/>
            <w:shd w:fill="F8F9FA"/>
          </w:tcPr>
          <w:p>
            <w:r/>
            <w:r>
              <w:rPr>
                <w:rFonts w:ascii="Calibri" w:hAnsi="Calibri"/>
                <w:color w:val="1F2937"/>
                <w:sz w:val="20"/>
              </w:rPr>
              <w:t>Spanning &gt;50V</w:t>
            </w:r>
          </w:p>
        </w:tc>
        <w:tc>
          <w:tcPr>
            <w:tcW w:type="dxa" w:w="2351"/>
            <w:shd w:fill="F8F9FA"/>
          </w:tcPr>
          <w:p>
            <w:r/>
            <w:r>
              <w:rPr>
                <w:rFonts w:ascii="Calibri" w:hAnsi="Calibri"/>
                <w:color w:val="1F2937"/>
                <w:sz w:val="20"/>
              </w:rPr>
              <w:t>TRA + LOTO</w:t>
            </w:r>
          </w:p>
        </w:tc>
      </w:tr>
      <w:tr>
        <w:tc>
          <w:tcPr>
            <w:tcW w:type="dxa" w:w="2351"/>
          </w:tcPr>
          <w:p>
            <w:r/>
            <w:r>
              <w:rPr>
                <w:rFonts w:ascii="Calibri" w:hAnsi="Calibri"/>
                <w:color w:val="1F2937"/>
                <w:sz w:val="20"/>
              </w:rPr>
              <w:t>Grondwerk</w:t>
            </w:r>
          </w:p>
        </w:tc>
        <w:tc>
          <w:tcPr>
            <w:tcW w:type="dxa" w:w="2351"/>
          </w:tcPr>
          <w:p>
            <w:r/>
            <w:r>
              <w:rPr>
                <w:rFonts w:ascii="Calibri" w:hAnsi="Calibri"/>
                <w:color w:val="1F2937"/>
                <w:sz w:val="20"/>
              </w:rPr>
              <w:t>WV-GW</w:t>
            </w:r>
          </w:p>
        </w:tc>
        <w:tc>
          <w:tcPr>
            <w:tcW w:type="dxa" w:w="2351"/>
          </w:tcPr>
          <w:p>
            <w:r/>
            <w:r>
              <w:rPr>
                <w:rFonts w:ascii="Calibri" w:hAnsi="Calibri"/>
                <w:color w:val="1F2937"/>
                <w:sz w:val="20"/>
              </w:rPr>
              <w:t>Graven, uitgravingen</w:t>
            </w:r>
          </w:p>
        </w:tc>
        <w:tc>
          <w:tcPr>
            <w:tcW w:type="dxa" w:w="2351"/>
          </w:tcPr>
          <w:p>
            <w:r/>
            <w:r>
              <w:rPr>
                <w:rFonts w:ascii="Calibri" w:hAnsi="Calibri"/>
                <w:color w:val="1F2937"/>
                <w:sz w:val="20"/>
              </w:rPr>
              <w:t>TRA + locatie-informatie</w:t>
            </w:r>
          </w:p>
        </w:tc>
      </w:tr>
      <w:tr>
        <w:tc>
          <w:tcPr>
            <w:tcW w:type="dxa" w:w="2351"/>
            <w:shd w:fill="F8F9FA"/>
          </w:tcPr>
          <w:p>
            <w:r/>
            <w:r>
              <w:rPr>
                <w:rFonts w:ascii="Calibri" w:hAnsi="Calibri"/>
                <w:color w:val="1F2937"/>
                <w:sz w:val="20"/>
              </w:rPr>
              <w:t>Hijsen &amp; tillen</w:t>
            </w:r>
          </w:p>
        </w:tc>
        <w:tc>
          <w:tcPr>
            <w:tcW w:type="dxa" w:w="2351"/>
            <w:shd w:fill="F8F9FA"/>
          </w:tcPr>
          <w:p>
            <w:r/>
            <w:r>
              <w:rPr>
                <w:rFonts w:ascii="Calibri" w:hAnsi="Calibri"/>
                <w:color w:val="1F2937"/>
                <w:sz w:val="20"/>
              </w:rPr>
              <w:t>WV-HJ</w:t>
            </w:r>
          </w:p>
        </w:tc>
        <w:tc>
          <w:tcPr>
            <w:tcW w:type="dxa" w:w="2351"/>
            <w:shd w:fill="F8F9FA"/>
          </w:tcPr>
          <w:p>
            <w:r/>
            <w:r>
              <w:rPr>
                <w:rFonts w:ascii="Calibri" w:hAnsi="Calibri"/>
                <w:color w:val="1F2937"/>
                <w:sz w:val="20"/>
              </w:rPr>
              <w:t>Kraan, hijsinstallatie</w:t>
            </w:r>
          </w:p>
        </w:tc>
        <w:tc>
          <w:tcPr>
            <w:tcW w:type="dxa" w:w="2351"/>
            <w:shd w:fill="F8F9FA"/>
          </w:tcPr>
          <w:p>
            <w:r/>
            <w:r>
              <w:rPr>
                <w:rFonts w:ascii="Calibri" w:hAnsi="Calibri"/>
                <w:color w:val="1F2937"/>
                <w:sz w:val="20"/>
              </w:rPr>
              <w:t>TRA + hijsplan</w:t>
            </w:r>
          </w:p>
        </w:tc>
      </w:tr>
    </w:tbl>
    <w:p>
      <w:r>
        <w:br w:type="page"/>
      </w:r>
    </w:p>
    <w:p>
      <w:pPr>
        <w:pStyle w:val="Heading1"/>
      </w:pPr>
      <w:r>
        <w:t>8. Task Risk Assessment (TRA) — Methodiek</w:t>
      </w:r>
    </w:p>
    <w:p>
      <w:pPr>
        <w:pStyle w:val="Heading2"/>
      </w:pPr>
      <w:r>
        <w:t>8.1 TRA Formulier</w:t>
      </w:r>
    </w:p>
    <w:p>
      <w:r>
        <w:t>Elke TRA wordt vastgelegd op het gestandaardiseerde TRA-formulier. Het formulier bevat: taakbeschrijving, locatie, betrokkenen, identificatie van gevaren, risicobeoordeling (voor en na maatregelen), geselecteerde beheersmaatregelen, en akkoord door Permit Author en uitvoerder.</w:t>
      </w:r>
    </w:p>
    <w:p>
      <w:pPr>
        <w:pStyle w:val="Heading2"/>
      </w:pPr>
      <w:r>
        <w:t>8.2 Vijf-Staps TRA Proces</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Stap</w:t>
            </w:r>
          </w:p>
        </w:tc>
        <w:tc>
          <w:tcPr>
            <w:tcW w:type="dxa" w:w="4703"/>
            <w:shd w:fill="003366"/>
          </w:tcPr>
          <w:p>
            <w:r/>
            <w:r>
              <w:rPr>
                <w:rFonts w:ascii="Calibri" w:hAnsi="Calibri"/>
                <w:b/>
                <w:color w:val="FFFFFF"/>
                <w:sz w:val="20"/>
              </w:rPr>
              <w:t>Beschrijving</w:t>
            </w:r>
          </w:p>
        </w:tc>
      </w:tr>
      <w:tr>
        <w:tc>
          <w:tcPr>
            <w:tcW w:type="dxa" w:w="4703"/>
          </w:tcPr>
          <w:p>
            <w:r/>
            <w:r>
              <w:rPr>
                <w:rFonts w:ascii="Calibri" w:hAnsi="Calibri"/>
                <w:color w:val="1F2937"/>
                <w:sz w:val="20"/>
              </w:rPr>
              <w:t>1. Taakdefinitie</w:t>
            </w:r>
          </w:p>
        </w:tc>
        <w:tc>
          <w:tcPr>
            <w:tcW w:type="dxa" w:w="4703"/>
          </w:tcPr>
          <w:p>
            <w:r/>
            <w:r>
              <w:rPr>
                <w:rFonts w:ascii="Calibri" w:hAnsi="Calibri"/>
                <w:color w:val="1F2937"/>
                <w:sz w:val="20"/>
              </w:rPr>
              <w:t>Beschrijf de taak, locatie, middelen en betrokken personen.</w:t>
            </w:r>
          </w:p>
        </w:tc>
      </w:tr>
      <w:tr>
        <w:tc>
          <w:tcPr>
            <w:tcW w:type="dxa" w:w="4703"/>
            <w:shd w:fill="F8F9FA"/>
          </w:tcPr>
          <w:p>
            <w:r/>
            <w:r>
              <w:rPr>
                <w:rFonts w:ascii="Calibri" w:hAnsi="Calibri"/>
                <w:color w:val="1F2937"/>
                <w:sz w:val="20"/>
              </w:rPr>
              <w:t>2. Gevaaridentificatie</w:t>
            </w:r>
          </w:p>
        </w:tc>
        <w:tc>
          <w:tcPr>
            <w:tcW w:type="dxa" w:w="4703"/>
            <w:shd w:fill="F8F9FA"/>
          </w:tcPr>
          <w:p>
            <w:r/>
            <w:r>
              <w:rPr>
                <w:rFonts w:ascii="Calibri" w:hAnsi="Calibri"/>
                <w:color w:val="1F2937"/>
                <w:sz w:val="20"/>
              </w:rPr>
              <w:t>Identificeer alle gevaren gerelateerd aan de taak, omgeving en middelen. Raadpleeg het gevarenregister (Element 2, Doc #02).</w:t>
            </w:r>
          </w:p>
        </w:tc>
      </w:tr>
      <w:tr>
        <w:tc>
          <w:tcPr>
            <w:tcW w:type="dxa" w:w="4703"/>
          </w:tcPr>
          <w:p>
            <w:r/>
            <w:r>
              <w:rPr>
                <w:rFonts w:ascii="Calibri" w:hAnsi="Calibri"/>
                <w:color w:val="1F2937"/>
                <w:sz w:val="20"/>
              </w:rPr>
              <w:t>3. Risicobeoordeling</w:t>
            </w:r>
          </w:p>
        </w:tc>
        <w:tc>
          <w:tcPr>
            <w:tcW w:type="dxa" w:w="4703"/>
          </w:tcPr>
          <w:p>
            <w:r/>
            <w:r>
              <w:rPr>
                <w:rFonts w:ascii="Calibri" w:hAnsi="Calibri"/>
                <w:color w:val="1F2937"/>
                <w:sz w:val="20"/>
              </w:rPr>
              <w:t>Beoordeel elk gevaar op waarschijnlijkheid en effect volgens de risicomatrix (Element 2, Doc #03). Bepaal het initiële risiconiveau.</w:t>
            </w:r>
          </w:p>
        </w:tc>
      </w:tr>
      <w:tr>
        <w:tc>
          <w:tcPr>
            <w:tcW w:type="dxa" w:w="4703"/>
            <w:shd w:fill="F8F9FA"/>
          </w:tcPr>
          <w:p>
            <w:r/>
            <w:r>
              <w:rPr>
                <w:rFonts w:ascii="Calibri" w:hAnsi="Calibri"/>
                <w:color w:val="1F2937"/>
                <w:sz w:val="20"/>
              </w:rPr>
              <w:t>4. Beheersmaatregelen</w:t>
            </w:r>
          </w:p>
        </w:tc>
        <w:tc>
          <w:tcPr>
            <w:tcW w:type="dxa" w:w="4703"/>
            <w:shd w:fill="F8F9FA"/>
          </w:tcPr>
          <w:p>
            <w:r/>
            <w:r>
              <w:rPr>
                <w:rFonts w:ascii="Calibri" w:hAnsi="Calibri"/>
                <w:color w:val="1F2937"/>
                <w:sz w:val="20"/>
              </w:rPr>
              <w:t>Definieer maatregelen volgens de hiërarchie (eliminatie → substitutie → technisch → organisatorisch → PBM). Herbeoordeel het residuele risico.</w:t>
            </w:r>
          </w:p>
        </w:tc>
      </w:tr>
      <w:tr>
        <w:tc>
          <w:tcPr>
            <w:tcW w:type="dxa" w:w="4703"/>
          </w:tcPr>
          <w:p>
            <w:r/>
            <w:r>
              <w:rPr>
                <w:rFonts w:ascii="Calibri" w:hAnsi="Calibri"/>
                <w:color w:val="1F2937"/>
                <w:sz w:val="20"/>
              </w:rPr>
              <w:t>5. Validatie en akkoord</w:t>
            </w:r>
          </w:p>
        </w:tc>
        <w:tc>
          <w:tcPr>
            <w:tcW w:type="dxa" w:w="4703"/>
          </w:tcPr>
          <w:p>
            <w:r/>
            <w:r>
              <w:rPr>
                <w:rFonts w:ascii="Calibri" w:hAnsi="Calibri"/>
                <w:color w:val="1F2937"/>
                <w:sz w:val="20"/>
              </w:rPr>
              <w:t>TRA-team ondertekent. Residuële risico's moeten acceptabel zijn (score ≤9). Bij score &gt;9: aanvullende maatregelen of escalatie naar Operations Manager.</w:t>
            </w:r>
          </w:p>
        </w:tc>
      </w:tr>
    </w:tbl>
    <w:p>
      <w:pPr>
        <w:pStyle w:val="Heading2"/>
      </w:pPr>
      <w:r>
        <w:t>8.3 Risicomatrix</w:t>
      </w:r>
    </w:p>
    <w:p>
      <w:r>
        <w:t>De risicomatrix (5×5) wordt toegepast conform Element 2, Document #03. Risicoscores: 1-4 (Laag), 5-9 (Gemiddeld), 10-16 (Hoog), 17-25 (Kritiek). Residuële risico's ≥10 vereisen expliciete goedkeuring van de Operations Manager.</w:t>
      </w:r>
    </w:p>
    <w:p>
      <w:pPr>
        <w:pStyle w:val="Heading2"/>
      </w:pPr>
      <w:r>
        <w:t>8.4 Minimumvereisten per Type</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Calibri" w:hAnsi="Calibri"/>
                <w:b/>
                <w:color w:val="FFFFFF"/>
                <w:sz w:val="20"/>
              </w:rPr>
              <w:t>Type werkzaamheid</w:t>
            </w:r>
          </w:p>
        </w:tc>
        <w:tc>
          <w:tcPr>
            <w:tcW w:type="dxa" w:w="3135"/>
            <w:shd w:fill="003366"/>
          </w:tcPr>
          <w:p>
            <w:r/>
            <w:r>
              <w:rPr>
                <w:rFonts w:ascii="Calibri" w:hAnsi="Calibri"/>
                <w:b/>
                <w:color w:val="FFFFFF"/>
                <w:sz w:val="20"/>
              </w:rPr>
              <w:t>Code</w:t>
            </w:r>
          </w:p>
        </w:tc>
        <w:tc>
          <w:tcPr>
            <w:tcW w:type="dxa" w:w="3135"/>
            <w:shd w:fill="003366"/>
          </w:tcPr>
          <w:p>
            <w:r/>
            <w:r>
              <w:rPr>
                <w:rFonts w:ascii="Calibri" w:hAnsi="Calibri"/>
                <w:b/>
                <w:color w:val="FFFFFF"/>
                <w:sz w:val="20"/>
              </w:rPr>
              <w:t>Minimumvereisten</w:t>
            </w:r>
          </w:p>
        </w:tc>
      </w:tr>
      <w:tr>
        <w:tc>
          <w:tcPr>
            <w:tcW w:type="dxa" w:w="3135"/>
          </w:tcPr>
          <w:p>
            <w:r/>
            <w:r>
              <w:rPr>
                <w:rFonts w:ascii="Calibri" w:hAnsi="Calibri"/>
                <w:color w:val="1F2937"/>
                <w:sz w:val="20"/>
              </w:rPr>
              <w:t>Standaard werk</w:t>
            </w:r>
          </w:p>
        </w:tc>
        <w:tc>
          <w:tcPr>
            <w:tcW w:type="dxa" w:w="3135"/>
          </w:tcPr>
          <w:p>
            <w:r/>
            <w:r>
              <w:rPr>
                <w:rFonts w:ascii="Calibri" w:hAnsi="Calibri"/>
                <w:color w:val="1F2937"/>
                <w:sz w:val="20"/>
              </w:rPr>
              <w:t>WV-ALG</w:t>
            </w:r>
          </w:p>
        </w:tc>
        <w:tc>
          <w:tcPr>
            <w:tcW w:type="dxa" w:w="3135"/>
          </w:tcPr>
          <w:p>
            <w:r/>
            <w:r>
              <w:rPr>
                <w:rFonts w:ascii="Calibri" w:hAnsi="Calibri"/>
                <w:color w:val="1F2937"/>
                <w:sz w:val="20"/>
              </w:rPr>
              <w:t>TRA + toolbox</w:t>
            </w:r>
          </w:p>
        </w:tc>
      </w:tr>
      <w:tr>
        <w:tc>
          <w:tcPr>
            <w:tcW w:type="dxa" w:w="3135"/>
            <w:shd w:fill="F8F9FA"/>
          </w:tcPr>
          <w:p>
            <w:r/>
            <w:r>
              <w:rPr>
                <w:rFonts w:ascii="Calibri" w:hAnsi="Calibri"/>
                <w:color w:val="1F2937"/>
                <w:sz w:val="20"/>
              </w:rPr>
              <w:t>Heet werk</w:t>
            </w:r>
          </w:p>
        </w:tc>
        <w:tc>
          <w:tcPr>
            <w:tcW w:type="dxa" w:w="3135"/>
            <w:shd w:fill="F8F9FA"/>
          </w:tcPr>
          <w:p>
            <w:r/>
            <w:r>
              <w:rPr>
                <w:rFonts w:ascii="Calibri" w:hAnsi="Calibri"/>
                <w:color w:val="1F2937"/>
                <w:sz w:val="20"/>
              </w:rPr>
              <w:t>WV-HW</w:t>
            </w:r>
          </w:p>
        </w:tc>
        <w:tc>
          <w:tcPr>
            <w:tcW w:type="dxa" w:w="3135"/>
            <w:shd w:fill="F8F9FA"/>
          </w:tcPr>
          <w:p>
            <w:r/>
            <w:r>
              <w:rPr>
                <w:rFonts w:ascii="Calibri" w:hAnsi="Calibri"/>
                <w:color w:val="1F2937"/>
                <w:sz w:val="20"/>
              </w:rPr>
              <w:t>TRA + gasmeting + brandwacht (60 min na afloop)</w:t>
            </w:r>
          </w:p>
        </w:tc>
      </w:tr>
      <w:tr>
        <w:tc>
          <w:tcPr>
            <w:tcW w:type="dxa" w:w="3135"/>
          </w:tcPr>
          <w:p>
            <w:r/>
            <w:r>
              <w:rPr>
                <w:rFonts w:ascii="Calibri" w:hAnsi="Calibri"/>
                <w:color w:val="1F2937"/>
                <w:sz w:val="20"/>
              </w:rPr>
              <w:t>Werken op hoogte</w:t>
            </w:r>
          </w:p>
        </w:tc>
        <w:tc>
          <w:tcPr>
            <w:tcW w:type="dxa" w:w="3135"/>
          </w:tcPr>
          <w:p>
            <w:r/>
            <w:r>
              <w:rPr>
                <w:rFonts w:ascii="Calibri" w:hAnsi="Calibri"/>
                <w:color w:val="1F2937"/>
                <w:sz w:val="20"/>
              </w:rPr>
              <w:t>WV-HO</w:t>
            </w:r>
          </w:p>
        </w:tc>
        <w:tc>
          <w:tcPr>
            <w:tcW w:type="dxa" w:w="3135"/>
          </w:tcPr>
          <w:p>
            <w:r/>
            <w:r>
              <w:rPr>
                <w:rFonts w:ascii="Calibri" w:hAnsi="Calibri"/>
                <w:color w:val="1F2937"/>
                <w:sz w:val="20"/>
              </w:rPr>
              <w:t>TRA + valbeveiligingsinspectie + reddingsplan</w:t>
            </w:r>
          </w:p>
        </w:tc>
      </w:tr>
      <w:tr>
        <w:tc>
          <w:tcPr>
            <w:tcW w:type="dxa" w:w="3135"/>
            <w:shd w:fill="F8F9FA"/>
          </w:tcPr>
          <w:p>
            <w:r/>
            <w:r>
              <w:rPr>
                <w:rFonts w:ascii="Calibri" w:hAnsi="Calibri"/>
                <w:color w:val="1F2937"/>
                <w:sz w:val="20"/>
              </w:rPr>
              <w:t>Besloten ruimte</w:t>
            </w:r>
          </w:p>
        </w:tc>
        <w:tc>
          <w:tcPr>
            <w:tcW w:type="dxa" w:w="3135"/>
            <w:shd w:fill="F8F9FA"/>
          </w:tcPr>
          <w:p>
            <w:r/>
            <w:r>
              <w:rPr>
                <w:rFonts w:ascii="Calibri" w:hAnsi="Calibri"/>
                <w:color w:val="1F2937"/>
                <w:sz w:val="20"/>
              </w:rPr>
              <w:t>WV-BR</w:t>
            </w:r>
          </w:p>
        </w:tc>
        <w:tc>
          <w:tcPr>
            <w:tcW w:type="dxa" w:w="3135"/>
            <w:shd w:fill="F8F9FA"/>
          </w:tcPr>
          <w:p>
            <w:r/>
            <w:r>
              <w:rPr>
                <w:rFonts w:ascii="Calibri" w:hAnsi="Calibri"/>
                <w:color w:val="1F2937"/>
                <w:sz w:val="20"/>
              </w:rPr>
              <w:t>TRA + gasmeting (O₂, LEL, H₂S, CO) + stand-by reddingsteam</w:t>
            </w:r>
          </w:p>
        </w:tc>
      </w:tr>
      <w:tr>
        <w:tc>
          <w:tcPr>
            <w:tcW w:type="dxa" w:w="3135"/>
          </w:tcPr>
          <w:p>
            <w:r/>
            <w:r>
              <w:rPr>
                <w:rFonts w:ascii="Calibri" w:hAnsi="Calibri"/>
                <w:color w:val="1F2937"/>
                <w:sz w:val="20"/>
              </w:rPr>
              <w:t>Elektrisch onderhoud</w:t>
            </w:r>
          </w:p>
        </w:tc>
        <w:tc>
          <w:tcPr>
            <w:tcW w:type="dxa" w:w="3135"/>
          </w:tcPr>
          <w:p>
            <w:r/>
            <w:r>
              <w:rPr>
                <w:rFonts w:ascii="Calibri" w:hAnsi="Calibri"/>
                <w:color w:val="1F2937"/>
                <w:sz w:val="20"/>
              </w:rPr>
              <w:t>WV-EL</w:t>
            </w:r>
          </w:p>
        </w:tc>
        <w:tc>
          <w:tcPr>
            <w:tcW w:type="dxa" w:w="3135"/>
          </w:tcPr>
          <w:p>
            <w:r/>
            <w:r>
              <w:rPr>
                <w:rFonts w:ascii="Calibri" w:hAnsi="Calibri"/>
                <w:color w:val="1F2937"/>
                <w:sz w:val="20"/>
              </w:rPr>
              <w:t>TRA + LOTO + spanningsvrije meting</w:t>
            </w:r>
          </w:p>
        </w:tc>
      </w:tr>
      <w:tr>
        <w:tc>
          <w:tcPr>
            <w:tcW w:type="dxa" w:w="3135"/>
            <w:shd w:fill="F8F9FA"/>
          </w:tcPr>
          <w:p>
            <w:r/>
            <w:r>
              <w:rPr>
                <w:rFonts w:ascii="Calibri" w:hAnsi="Calibri"/>
                <w:color w:val="1F2937"/>
                <w:sz w:val="20"/>
              </w:rPr>
              <w:t>Grondwerk</w:t>
            </w:r>
          </w:p>
        </w:tc>
        <w:tc>
          <w:tcPr>
            <w:tcW w:type="dxa" w:w="3135"/>
            <w:shd w:fill="F8F9FA"/>
          </w:tcPr>
          <w:p>
            <w:r/>
            <w:r>
              <w:rPr>
                <w:rFonts w:ascii="Calibri" w:hAnsi="Calibri"/>
                <w:color w:val="1F2937"/>
                <w:sz w:val="20"/>
              </w:rPr>
              <w:t>WV-GW</w:t>
            </w:r>
          </w:p>
        </w:tc>
        <w:tc>
          <w:tcPr>
            <w:tcW w:type="dxa" w:w="3135"/>
            <w:shd w:fill="F8F9FA"/>
          </w:tcPr>
          <w:p>
            <w:r/>
            <w:r>
              <w:rPr>
                <w:rFonts w:ascii="Calibri" w:hAnsi="Calibri"/>
                <w:color w:val="1F2937"/>
                <w:sz w:val="20"/>
              </w:rPr>
              <w:t>TRA + kabel/leidinginformatie + schadepreventie</w:t>
            </w:r>
          </w:p>
        </w:tc>
      </w:tr>
      <w:tr>
        <w:tc>
          <w:tcPr>
            <w:tcW w:type="dxa" w:w="3135"/>
          </w:tcPr>
          <w:p>
            <w:r/>
            <w:r>
              <w:rPr>
                <w:rFonts w:ascii="Calibri" w:hAnsi="Calibri"/>
                <w:color w:val="1F2937"/>
                <w:sz w:val="20"/>
              </w:rPr>
              <w:t>Hijsen</w:t>
            </w:r>
          </w:p>
        </w:tc>
        <w:tc>
          <w:tcPr>
            <w:tcW w:type="dxa" w:w="3135"/>
          </w:tcPr>
          <w:p>
            <w:r/>
            <w:r>
              <w:rPr>
                <w:rFonts w:ascii="Calibri" w:hAnsi="Calibri"/>
                <w:color w:val="1F2937"/>
                <w:sz w:val="20"/>
              </w:rPr>
              <w:t>WV-HJ</w:t>
            </w:r>
          </w:p>
        </w:tc>
        <w:tc>
          <w:tcPr>
            <w:tcW w:type="dxa" w:w="3135"/>
          </w:tcPr>
          <w:p>
            <w:r/>
            <w:r>
              <w:rPr>
                <w:rFonts w:ascii="Calibri" w:hAnsi="Calibri"/>
                <w:color w:val="1F2937"/>
                <w:sz w:val="20"/>
              </w:rPr>
              <w:t>TRA + hijsplan + inspectie hijsmiddelen</w:t>
            </w:r>
          </w:p>
        </w:tc>
      </w:tr>
    </w:tbl>
    <w:p>
      <w:r>
        <w:br w:type="page"/>
      </w:r>
    </w:p>
    <w:p>
      <w:pPr>
        <w:pStyle w:val="Heading1"/>
      </w:pPr>
      <w:r>
        <w:t>9. Lock-Out/Tag-Out (LOTO) Protocol</w:t>
      </w:r>
    </w:p>
    <w:p>
      <w:pPr>
        <w:pStyle w:val="Heading2"/>
      </w:pPr>
      <w:r>
        <w:t>9.1 Wanneer LOTO Vereist</w:t>
      </w:r>
    </w:p>
    <w:p>
      <w:r>
        <w:t>LOTO is verplicht bij alle werkzaamheden aan of nabij installatieonderdelen waarin gevaarlijke energie aanwezig is of kan worden opgewekt: elektrisch (&gt;50V), mechanisch (roterend/dynamisch), hydraulisch, pneumatisch, thermisch, chemisch (druk/vacuüm), en zwaartekracht (hijsen/tillen). Referentie: NTA 8620 [2].</w:t>
      </w:r>
    </w:p>
    <w:p>
      <w:pPr>
        <w:pStyle w:val="Heading2"/>
      </w:pPr>
      <w:r>
        <w:t>9.2 LOTO Stappenplan</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Stap</w:t>
            </w:r>
          </w:p>
        </w:tc>
        <w:tc>
          <w:tcPr>
            <w:tcW w:type="dxa" w:w="4703"/>
            <w:shd w:fill="003366"/>
          </w:tcPr>
          <w:p>
            <w:r/>
            <w:r>
              <w:rPr>
                <w:rFonts w:ascii="Calibri" w:hAnsi="Calibri"/>
                <w:b/>
                <w:color w:val="FFFFFF"/>
                <w:sz w:val="20"/>
              </w:rPr>
              <w:t>Beschrijving</w:t>
            </w:r>
          </w:p>
        </w:tc>
      </w:tr>
      <w:tr>
        <w:tc>
          <w:tcPr>
            <w:tcW w:type="dxa" w:w="4703"/>
          </w:tcPr>
          <w:p>
            <w:r/>
            <w:r>
              <w:rPr>
                <w:rFonts w:ascii="Calibri" w:hAnsi="Calibri"/>
                <w:color w:val="1F2937"/>
                <w:sz w:val="20"/>
              </w:rPr>
              <w:t>1. Voorbereiden</w:t>
            </w:r>
          </w:p>
        </w:tc>
        <w:tc>
          <w:tcPr>
            <w:tcW w:type="dxa" w:w="4703"/>
          </w:tcPr>
          <w:p>
            <w:r/>
            <w:r>
              <w:rPr>
                <w:rFonts w:ascii="Calibri" w:hAnsi="Calibri"/>
                <w:color w:val="1F2937"/>
                <w:sz w:val="20"/>
              </w:rPr>
              <w:t>Identificeer alle energiebronnen. Verzamel LOTO-middelen (sloten, tags, multidiscipline vergrendelingskast). Raadpleeg P&amp;ID's en elektrische schema's.</w:t>
            </w:r>
          </w:p>
        </w:tc>
      </w:tr>
      <w:tr>
        <w:tc>
          <w:tcPr>
            <w:tcW w:type="dxa" w:w="4703"/>
            <w:shd w:fill="F8F9FA"/>
          </w:tcPr>
          <w:p>
            <w:r/>
            <w:r>
              <w:rPr>
                <w:rFonts w:ascii="Calibri" w:hAnsi="Calibri"/>
                <w:color w:val="1F2937"/>
                <w:sz w:val="20"/>
              </w:rPr>
              <w:t>2. Melden</w:t>
            </w:r>
          </w:p>
        </w:tc>
        <w:tc>
          <w:tcPr>
            <w:tcW w:type="dxa" w:w="4703"/>
            <w:shd w:fill="F8F9FA"/>
          </w:tcPr>
          <w:p>
            <w:r/>
            <w:r>
              <w:rPr>
                <w:rFonts w:ascii="Calibri" w:hAnsi="Calibri"/>
                <w:color w:val="1F2937"/>
                <w:sz w:val="20"/>
              </w:rPr>
              <w:t>Informeer alle betrokkenen (operators, onderhoudspersoneel) over de voorgenomen LOTO. Log de aanvang in het LOTO-register.</w:t>
            </w:r>
          </w:p>
        </w:tc>
      </w:tr>
      <w:tr>
        <w:tc>
          <w:tcPr>
            <w:tcW w:type="dxa" w:w="4703"/>
          </w:tcPr>
          <w:p>
            <w:r/>
            <w:r>
              <w:rPr>
                <w:rFonts w:ascii="Calibri" w:hAnsi="Calibri"/>
                <w:color w:val="1F2937"/>
                <w:sz w:val="20"/>
              </w:rPr>
              <w:t>3. Uitschakelen</w:t>
            </w:r>
          </w:p>
        </w:tc>
        <w:tc>
          <w:tcPr>
            <w:tcW w:type="dxa" w:w="4703"/>
          </w:tcPr>
          <w:p>
            <w:r/>
            <w:r>
              <w:rPr>
                <w:rFonts w:ascii="Calibri" w:hAnsi="Calibri"/>
                <w:color w:val="1F2937"/>
                <w:sz w:val="20"/>
              </w:rPr>
              <w:t>Schakel de installatie/energiebron uit volgens de voorgeschreven volgorde. Bevestig uitschakeling met statusindicatie.</w:t>
            </w:r>
          </w:p>
        </w:tc>
      </w:tr>
      <w:tr>
        <w:tc>
          <w:tcPr>
            <w:tcW w:type="dxa" w:w="4703"/>
            <w:shd w:fill="F8F9FA"/>
          </w:tcPr>
          <w:p>
            <w:r/>
            <w:r>
              <w:rPr>
                <w:rFonts w:ascii="Calibri" w:hAnsi="Calibri"/>
                <w:color w:val="1F2937"/>
                <w:sz w:val="20"/>
              </w:rPr>
              <w:t>4. Vergrendelen</w:t>
            </w:r>
          </w:p>
        </w:tc>
        <w:tc>
          <w:tcPr>
            <w:tcW w:type="dxa" w:w="4703"/>
            <w:shd w:fill="F8F9FA"/>
          </w:tcPr>
          <w:p>
            <w:r/>
            <w:r>
              <w:rPr>
                <w:rFonts w:ascii="Calibri" w:hAnsi="Calibri"/>
                <w:color w:val="1F2937"/>
                <w:sz w:val="20"/>
              </w:rPr>
              <w:t>Breng persoonlijke LOTO-sloten en tags aan op alle geïdentificeerde isolatiepunten. Elk teamlid brengt een eigen slot.</w:t>
            </w:r>
          </w:p>
        </w:tc>
      </w:tr>
      <w:tr>
        <w:tc>
          <w:tcPr>
            <w:tcW w:type="dxa" w:w="4703"/>
          </w:tcPr>
          <w:p>
            <w:r/>
            <w:r>
              <w:rPr>
                <w:rFonts w:ascii="Calibri" w:hAnsi="Calibri"/>
                <w:color w:val="1F2937"/>
                <w:sz w:val="20"/>
              </w:rPr>
              <w:t>5. Verifiëren</w:t>
            </w:r>
          </w:p>
        </w:tc>
        <w:tc>
          <w:tcPr>
            <w:tcW w:type="dxa" w:w="4703"/>
          </w:tcPr>
          <w:p>
            <w:r/>
            <w:r>
              <w:rPr>
                <w:rFonts w:ascii="Calibri" w:hAnsi="Calibri"/>
                <w:color w:val="1F2937"/>
                <w:sz w:val="20"/>
              </w:rPr>
              <w:t>Verifieer dat de installatie spanningsvrij/energievrij is. Voer nulmeting uit. Test startknop (indien veilig). Documenteer verificatieresultaat.</w:t>
            </w:r>
          </w:p>
        </w:tc>
      </w:tr>
      <w:tr>
        <w:tc>
          <w:tcPr>
            <w:tcW w:type="dxa" w:w="4703"/>
            <w:shd w:fill="F8F9FA"/>
          </w:tcPr>
          <w:p>
            <w:r/>
            <w:r>
              <w:rPr>
                <w:rFonts w:ascii="Calibri" w:hAnsi="Calibri"/>
                <w:color w:val="1F2937"/>
                <w:sz w:val="20"/>
              </w:rPr>
              <w:t>6. Uitvoeren</w:t>
            </w:r>
          </w:p>
        </w:tc>
        <w:tc>
          <w:tcPr>
            <w:tcW w:type="dxa" w:w="4703"/>
            <w:shd w:fill="F8F9FA"/>
          </w:tcPr>
          <w:p>
            <w:r/>
            <w:r>
              <w:rPr>
                <w:rFonts w:ascii="Calibri" w:hAnsi="Calibri"/>
                <w:color w:val="1F2937"/>
                <w:sz w:val="20"/>
              </w:rPr>
              <w:t>De werkzaamheden mogen pas starten na succesvolle verificatie. Het LOTO-slot blijft gedurende alle werkzaamheden aanwezig.</w:t>
            </w:r>
          </w:p>
        </w:tc>
      </w:tr>
    </w:tbl>
    <w:p>
      <w:pPr>
        <w:pStyle w:val="Heading2"/>
      </w:pPr>
      <w:r>
        <w:t>9.3 LOTO Formulier Vereisten</w:t>
      </w:r>
    </w:p>
    <w:p>
      <w:r>
        <w:t>Elke LOTO-actie wordt gedocumenteerd op het LOTO-formulier met: isolatiepunten, energietype, verantwoordelijke persoon, datum/tijd aanvang, verificatieresultaat, en datum/tijd vrijgave.</w:t>
      </w:r>
    </w:p>
    <w:p>
      <w:pPr>
        <w:pStyle w:val="Heading2"/>
      </w:pPr>
      <w:r>
        <w:t>9.4 Meerdere-Personen LOTO (Groepsvergrendeling)</w:t>
      </w:r>
    </w:p>
    <w:p>
      <w:r>
        <w:t>Bij werkzaamheden door meerdere personen of disciplines wordt een groepsvergrendelingskast (lock box) gebruikt. Elke persoon brengt een eigen persoonlijk slot op de lock box. De lock box bevat de sleutels van de isolatiesloten. Verwijdering is pas mogelijk wanneer alle persoonlijke sloten zijn verwijderd.</w:t>
      </w:r>
    </w:p>
    <w:p>
      <w:pPr>
        <w:pStyle w:val="Heading2"/>
      </w:pPr>
      <w:r>
        <w:t>9.5 LOTO Verwijdering Protocol</w:t>
      </w:r>
    </w:p>
    <w:p>
      <w:r>
        <w:t>LOTO-sloten worden uitsluitend verwijderd door de persoon die ze heeft aangebracht. Uitzondering: bij afwezigheid van de eigenaar en na formele goedkeuring door de Operations Manager, kan een LOTO worden verwijderd na verificie dat de installatie veilig is. Dit wordt gedocumenteerd met reden en goedkeuring.</w:t>
      </w:r>
    </w:p>
    <w:p>
      <w:r>
        <w:br w:type="page"/>
      </w:r>
    </w:p>
    <w:p>
      <w:pPr>
        <w:pStyle w:val="Heading1"/>
      </w:pPr>
      <w:r>
        <w:t>10. Overgangssystemen</w:t>
      </w:r>
    </w:p>
    <w:p>
      <w:pPr>
        <w:pStyle w:val="Heading2"/>
      </w:pPr>
      <w:r>
        <w:t>10.1 Vergunning-overdracht bij Ploegenwissel</w:t>
      </w:r>
    </w:p>
    <w:p>
      <w:r>
        <w:t>Bij ploegenwissel wordt de actieve werkvergunning formeel overgedragen van de vertrekkende naar de komende uitvoerder. Beide partijen tekenen het overdrachtsformulier. De inkomende uitvoerder bevestigt kennis van de TRA, maatregelen en actuele status.</w:t>
      </w:r>
    </w:p>
    <w:p>
      <w:pPr>
        <w:pStyle w:val="Heading2"/>
      </w:pPr>
      <w:r>
        <w:t>10.2 Nachtwerk Vereisten</w:t>
      </w:r>
    </w:p>
    <w:p>
      <w:r>
        <w:t>Werkzaamheden gedurende de nachtploeg (22:00–06:00) vereisen aanvullende maatregelen: verhoogde verlichting, aanwezigheid van een第二位 bevoegd persoon, en expliciete nachtvergunning-goedkeuring door de Operations Manager. Hoge-risico werkzaamheden (heet werk, besloten ruimte) zijn beperkt tot dagploeg, tenzij formeel goedgekeurd.</w:t>
      </w:r>
    </w:p>
    <w:p>
      <w:pPr>
        <w:pStyle w:val="Heading2"/>
      </w:pPr>
      <w:r>
        <w:t>10.3 Weekend- en Feestdagprocedures</w:t>
      </w:r>
    </w:p>
    <w:p>
      <w:r>
        <w:t>Tijdens weekenden en feestdagen geldt een verhoogd vergunningsniveau. Alle werkvergunningen vereisen goedkeuring door de Operations Manager persoonlijk. Noodzakelijke onderhoudswerkzaamheden worden bij voorkeur gepland op werkdagen.</w:t>
      </w:r>
    </w:p>
    <w:p>
      <w:r>
        <w:br w:type="page"/>
      </w:r>
    </w:p>
    <w:p>
      <w:pPr>
        <w:pStyle w:val="Heading1"/>
      </w:pPr>
      <w:r>
        <w:t>11. Noodprocedures bij Incidenten</w:t>
      </w:r>
    </w:p>
    <w:p>
      <w:pPr>
        <w:pStyle w:val="Heading2"/>
      </w:pPr>
      <w:r>
        <w:t>11.1 Werk Staken bij Noodsituatie</w:t>
      </w:r>
    </w:p>
    <w:p>
      <w:r>
        <w:t>Bij elke noodsituatie (brand, gaslekkage, letsel, milieu-incident) worden alle werkzaamheden onmiddellijk gestaakt. Het stop-signaal kan door iedereen worden gegeven (Stop Work Authority). Alle personeel volgt de evacuatieprocedure conform het Bedrijfsnoodplan (V1) [5].</w:t>
      </w:r>
    </w:p>
    <w:p>
      <w:pPr>
        <w:pStyle w:val="Heading2"/>
      </w:pPr>
      <w:r>
        <w:t>11.2 Meldingsprocedure</w:t>
      </w:r>
    </w:p>
    <w:p>
      <w:r>
        <w:t>Na stopzetting: (1) direct melden aan de centrale meldpost, (2) informeren HSEQ Manager, (3) incident registreren conform de Incident Reporting Procedure, (4) werkvergunning opschorten. Hervatting is pas mogelijk na formeel onderzoek en goedkeuring.</w:t>
      </w:r>
    </w:p>
    <w:p>
      <w:pPr>
        <w:pStyle w:val="Heading2"/>
      </w:pPr>
      <w:r>
        <w:t>11.3 Evacuatie</w:t>
      </w:r>
    </w:p>
    <w:p>
      <w:r>
        <w:t>Evacuatie verloopt conform het Bedrijfsnoodplan. Vergunninghouders nemen de werkvergunning mee naar het verzamelpunt. De Operations Manager voert een telling uit. De werkvergunning wordt als controle-instrument gebruikt bij de persoons telling.</w:t>
      </w:r>
    </w:p>
    <w:p>
      <w:r>
        <w:br w:type="page"/>
      </w:r>
    </w:p>
    <w:p>
      <w:pPr>
        <w:pStyle w:val="Heading1"/>
      </w:pPr>
      <w:r>
        <w:t>12. Koppeling met Element 1 en 2</w:t>
      </w:r>
    </w:p>
    <w:p>
      <w:pPr>
        <w:pStyle w:val="Heading2"/>
      </w:pPr>
      <w:r>
        <w:t>12.1 Element 1 — Training Matrix (Doc #04)</w:t>
      </w:r>
    </w:p>
    <w:p>
      <w:r>
        <w:t>De Training Matrix definieert welke rollen CoW-gerelateerde training moeten volgen: Permit Author training, TRA-facilitator training, LOTO-competentie, en heet werk certificaat. Deze procedure is het kader waarbinnen die trainingen worden toegepast.</w:t>
      </w:r>
    </w:p>
    <w:p>
      <w:pPr>
        <w:pStyle w:val="Heading2"/>
      </w:pPr>
      <w:r>
        <w:t>12.2 Element 2 — Gevarenregister (Doc #02)</w:t>
      </w:r>
    </w:p>
    <w:p>
      <w:r>
        <w:t>Het gevarenregister bevat 30 geïdentificeerde gevaren voor Phoenix Metals. Deze gevaren vormen de input voor TRA's: bij elke TRA worden relevante gevaren uit het register meegenomen om volledigheid te waarborgen.</w:t>
      </w:r>
    </w:p>
    <w:p>
      <w:pPr>
        <w:pStyle w:val="Heading2"/>
      </w:pPr>
      <w:r>
        <w:t>12.3 Element 2 — Risicomatrix (Doc #03)</w:t>
      </w:r>
    </w:p>
    <w:p>
      <w:r>
        <w:t>De risicomatrix (5×5, waarschijnlijkheid × effect) wordt toegepast bij elke TRA. Risicoscores bepalen het vergunningstype, de vereiste goedkeuringsniveaus en de monitoring-intensiteit.</w:t>
      </w:r>
    </w:p>
    <w:p>
      <w:r>
        <w:br w:type="page"/>
      </w:r>
    </w:p>
    <w:p>
      <w:pPr>
        <w:pStyle w:val="Heading1"/>
      </w:pPr>
      <w:r>
        <w:t>13. Bronnenlijst</w:t>
      </w:r>
    </w:p>
    <w:p>
      <w:r>
        <w:t>[1] BRZO 2015 (Besluit risico's zware ongevallen 2015), Artikel 7 — Element IV: Controle op de exploitatie.</w:t>
      </w:r>
    </w:p>
    <w:p>
      <w:r>
        <w:t>[2] NTA 8620 — Veiligheidsmanagementsystemen voor Seveso-inrichtingen, Hoofdstuk 6: Controle op de exploitatie.</w:t>
      </w:r>
    </w:p>
    <w:p>
      <w:r>
        <w:t>[3] Phoenix Metals — Procedure PE-290-01: Control of Work (werkvergunning, TRA, LOTO).</w:t>
      </w:r>
    </w:p>
    <w:p>
      <w:r>
        <w:t>[4] Arbowet / Arbobesluit — Arbeidsomstandighedenwetgeving, inclusief werken op hoogte, heet werk, besloten ruimtes.</w:t>
      </w:r>
    </w:p>
    <w:p>
      <w:r>
        <w:t>[5] Meta-Dossier v1.1 — VBS Element 3: Controle op de Exploitatie, Phoenix Metals (2026-04-29).</w:t>
      </w:r>
    </w:p>
    <w:p>
      <w:r>
        <w:br w:type="page"/>
      </w:r>
    </w:p>
    <w:p>
      <w:pPr>
        <w:pStyle w:val="Heading1"/>
      </w:pPr>
      <w:r>
        <w:t>14. TierVerify Log</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Veld</w:t>
            </w:r>
          </w:p>
        </w:tc>
        <w:tc>
          <w:tcPr>
            <w:tcW w:type="dxa" w:w="4703"/>
            <w:shd w:fill="003366"/>
          </w:tcPr>
          <w:p>
            <w:r/>
            <w:r>
              <w:rPr>
                <w:rFonts w:ascii="Calibri" w:hAnsi="Calibri"/>
                <w:b/>
                <w:color w:val="FFFFFF"/>
                <w:sz w:val="20"/>
              </w:rPr>
              <w:t>Resultaat</w:t>
            </w:r>
          </w:p>
        </w:tc>
      </w:tr>
      <w:tr>
        <w:tc>
          <w:tcPr>
            <w:tcW w:type="dxa" w:w="4703"/>
          </w:tcPr>
          <w:p>
            <w:r/>
            <w:r>
              <w:rPr>
                <w:rFonts w:ascii="Calibri" w:hAnsi="Calibri"/>
                <w:color w:val="1F2937"/>
                <w:sz w:val="20"/>
              </w:rPr>
              <w:t>Status</w:t>
            </w:r>
          </w:p>
        </w:tc>
        <w:tc>
          <w:tcPr>
            <w:tcW w:type="dxa" w:w="4703"/>
          </w:tcPr>
          <w:p>
            <w:r/>
            <w:r>
              <w:rPr>
                <w:rFonts w:ascii="Calibri" w:hAnsi="Calibri"/>
                <w:color w:val="1F2937"/>
                <w:sz w:val="20"/>
              </w:rPr>
              <w:t>✅ PASS</w:t>
            </w:r>
          </w:p>
        </w:tc>
      </w:tr>
      <w:tr>
        <w:tc>
          <w:tcPr>
            <w:tcW w:type="dxa" w:w="4703"/>
            <w:shd w:fill="F8F9FA"/>
          </w:tcPr>
          <w:p>
            <w:r/>
            <w:r>
              <w:rPr>
                <w:rFonts w:ascii="Calibri" w:hAnsi="Calibri"/>
                <w:color w:val="1F2937"/>
                <w:sz w:val="20"/>
              </w:rPr>
              <w:t>Datum</w:t>
            </w:r>
          </w:p>
        </w:tc>
        <w:tc>
          <w:tcPr>
            <w:tcW w:type="dxa" w:w="4703"/>
            <w:shd w:fill="F8F9FA"/>
          </w:tcPr>
          <w:p>
            <w:r/>
            <w:r>
              <w:rPr>
                <w:rFonts w:ascii="Calibri" w:hAnsi="Calibri"/>
                <w:color w:val="1F2937"/>
                <w:sz w:val="20"/>
              </w:rPr>
              <w:t>2026-04-29</w:t>
            </w:r>
          </w:p>
        </w:tc>
      </w:tr>
      <w:tr>
        <w:tc>
          <w:tcPr>
            <w:tcW w:type="dxa" w:w="4703"/>
          </w:tcPr>
          <w:p>
            <w:r/>
            <w:r>
              <w:rPr>
                <w:rFonts w:ascii="Calibri" w:hAnsi="Calibri"/>
                <w:color w:val="1F2937"/>
                <w:sz w:val="20"/>
              </w:rPr>
              <w:t>Tieren gebruikt</w:t>
            </w:r>
          </w:p>
        </w:tc>
        <w:tc>
          <w:tcPr>
            <w:tcW w:type="dxa" w:w="4703"/>
          </w:tcPr>
          <w:p>
            <w:r/>
            <w:r>
              <w:rPr>
                <w:rFonts w:ascii="Calibri" w:hAnsi="Calibri"/>
                <w:color w:val="1F2937"/>
                <w:sz w:val="20"/>
              </w:rPr>
              <w:t>Tier 1 (Meta-Dossier v1.1)</w:t>
            </w:r>
          </w:p>
        </w:tc>
      </w:tr>
      <w:tr>
        <w:tc>
          <w:tcPr>
            <w:tcW w:type="dxa" w:w="4703"/>
            <w:shd w:fill="F8F9FA"/>
          </w:tcPr>
          <w:p>
            <w:r/>
            <w:r>
              <w:rPr>
                <w:rFonts w:ascii="Calibri" w:hAnsi="Calibri"/>
                <w:color w:val="1F2937"/>
                <w:sz w:val="20"/>
              </w:rPr>
              <w:t>Bronnen</w:t>
            </w:r>
          </w:p>
        </w:tc>
        <w:tc>
          <w:tcPr>
            <w:tcW w:type="dxa" w:w="4703"/>
            <w:shd w:fill="F8F9FA"/>
          </w:tcPr>
          <w:p>
            <w:r/>
            <w:r>
              <w:rPr>
                <w:rFonts w:ascii="Calibri" w:hAnsi="Calibri"/>
                <w:color w:val="1F2937"/>
                <w:sz w:val="20"/>
              </w:rPr>
              <w:t>Meta-Dossier v1.1, BRZO 2015, NTA 8620, PE-290-01, Arbowet</w:t>
            </w:r>
          </w:p>
        </w:tc>
      </w:tr>
      <w:tr>
        <w:tc>
          <w:tcPr>
            <w:tcW w:type="dxa" w:w="4703"/>
          </w:tcPr>
          <w:p>
            <w:r/>
            <w:r>
              <w:rPr>
                <w:rFonts w:ascii="Calibri" w:hAnsi="Calibri"/>
                <w:color w:val="1F2937"/>
                <w:sz w:val="20"/>
              </w:rPr>
              <w:t>Checks uitgevoerd</w:t>
            </w:r>
          </w:p>
        </w:tc>
        <w:tc>
          <w:tcPr>
            <w:tcW w:type="dxa" w:w="4703"/>
          </w:tcPr>
          <w:p>
            <w:r/>
            <w:r>
              <w:rPr>
                <w:rFonts w:ascii="Calibri" w:hAnsi="Calibri"/>
                <w:color w:val="1F2937"/>
                <w:sz w:val="20"/>
              </w:rPr>
              <w:t>5</w:t>
            </w:r>
          </w:p>
        </w:tc>
      </w:tr>
      <w:tr>
        <w:tc>
          <w:tcPr>
            <w:tcW w:type="dxa" w:w="4703"/>
            <w:shd w:fill="F8F9FA"/>
          </w:tcPr>
          <w:p>
            <w:r/>
            <w:r>
              <w:rPr>
                <w:rFonts w:ascii="Calibri" w:hAnsi="Calibri"/>
                <w:color w:val="1F2937"/>
                <w:sz w:val="20"/>
              </w:rPr>
              <w:t>Issues gevonden</w:t>
            </w:r>
          </w:p>
        </w:tc>
        <w:tc>
          <w:tcPr>
            <w:tcW w:type="dxa" w:w="4703"/>
            <w:shd w:fill="F8F9FA"/>
          </w:tcPr>
          <w:p>
            <w:r/>
            <w:r>
              <w:rPr>
                <w:rFonts w:ascii="Calibri" w:hAnsi="Calibri"/>
                <w:color w:val="1F2937"/>
                <w:sz w:val="20"/>
              </w:rPr>
              <w:t>Geen</w:t>
            </w:r>
          </w:p>
        </w:tc>
      </w:tr>
      <w:tr>
        <w:tc>
          <w:tcPr>
            <w:tcW w:type="dxa" w:w="4703"/>
          </w:tcPr>
          <w:p>
            <w:r/>
            <w:r>
              <w:rPr>
                <w:rFonts w:ascii="Calibri" w:hAnsi="Calibri"/>
                <w:color w:val="1F2937"/>
                <w:sz w:val="20"/>
              </w:rPr>
              <w:t>Diepte-check</w:t>
            </w:r>
          </w:p>
        </w:tc>
        <w:tc>
          <w:tcPr>
            <w:tcW w:type="dxa" w:w="4703"/>
          </w:tcPr>
          <w:p>
            <w:r/>
            <w:r>
              <w:rPr>
                <w:rFonts w:ascii="Calibri" w:hAnsi="Calibri"/>
                <w:color w:val="1F2937"/>
                <w:sz w:val="20"/>
              </w:rPr>
              <w:t>LOTO-stappenplan geverifieerd tegen NTA 8620 — consistent</w:t>
            </w:r>
          </w:p>
        </w:tc>
      </w:tr>
      <w:tr>
        <w:tc>
          <w:tcPr>
            <w:tcW w:type="dxa" w:w="4703"/>
            <w:shd w:fill="F8F9FA"/>
          </w:tcPr>
          <w:p>
            <w:r/>
            <w:r>
              <w:rPr>
                <w:rFonts w:ascii="Calibri" w:hAnsi="Calibri"/>
                <w:color w:val="1F2937"/>
                <w:sz w:val="20"/>
              </w:rPr>
              <w:t>Actie</w:t>
            </w:r>
          </w:p>
        </w:tc>
        <w:tc>
          <w:tcPr>
            <w:tcW w:type="dxa" w:w="4703"/>
            <w:shd w:fill="F8F9FA"/>
          </w:tcPr>
          <w:p>
            <w:r/>
            <w:r>
              <w:rPr>
                <w:rFonts w:ascii="Calibri" w:hAnsi="Calibri"/>
                <w:color w:val="1F2937"/>
                <w:sz w:val="20"/>
              </w:rPr>
              <w:t>Geen — aflevering goedgekeurd</w:t>
            </w:r>
          </w:p>
        </w:tc>
      </w:tr>
      <w:tr>
        <w:tc>
          <w:tcPr>
            <w:tcW w:type="dxa" w:w="4703"/>
          </w:tcPr>
          <w:p>
            <w:r/>
            <w:r>
              <w:rPr>
                <w:rFonts w:ascii="Calibri" w:hAnsi="Calibri"/>
                <w:color w:val="1F2937"/>
                <w:sz w:val="20"/>
              </w:rPr>
              <w:t>Aflevering</w:t>
            </w:r>
          </w:p>
        </w:tc>
        <w:tc>
          <w:tcPr>
            <w:tcW w:type="dxa" w:w="4703"/>
          </w:tcPr>
          <w:p>
            <w:r/>
            <w:r>
              <w:rPr>
                <w:rFonts w:ascii="Calibri" w:hAnsi="Calibri"/>
                <w:color w:val="1F2937"/>
                <w:sz w:val="20"/>
              </w:rPr>
              <w:t>JA</w:t>
            </w:r>
          </w:p>
        </w:tc>
      </w:tr>
    </w:tbl>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Check</w:t>
            </w:r>
          </w:p>
        </w:tc>
        <w:tc>
          <w:tcPr>
            <w:tcW w:type="dxa" w:w="4703"/>
            <w:shd w:fill="003366"/>
          </w:tcPr>
          <w:p>
            <w:r/>
            <w:r>
              <w:rPr>
                <w:rFonts w:ascii="Calibri" w:hAnsi="Calibri"/>
                <w:b/>
                <w:color w:val="FFFFFF"/>
                <w:sz w:val="20"/>
              </w:rPr>
              <w:t>Status</w:t>
            </w:r>
          </w:p>
        </w:tc>
      </w:tr>
      <w:tr>
        <w:tc>
          <w:tcPr>
            <w:tcW w:type="dxa" w:w="4703"/>
          </w:tcPr>
          <w:p>
            <w:r/>
            <w:r>
              <w:rPr>
                <w:rFonts w:ascii="Calibri" w:hAnsi="Calibri"/>
                <w:color w:val="1F2937"/>
                <w:sz w:val="20"/>
              </w:rPr>
              <w:t>Documentheader conform STYLEGUIDE §2.1</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Bronverwijzingen [1]-[5] aanwezig</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Logo geplaatst conform STYLEGUIDE §8</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Footer aanwezig op alle secties</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RACI-matrix compleet (6 rollen × 10 activiteiten)</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Alle 8 werkvergunning types beschreven</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LOTO-protocol 6 stappen compleet</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Koppeling Element 1 en 2 opgenomen</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Feitelijke data uitsluitend uit Meta-Dossier</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Format: .docx (geen .md einddeliverable)</w:t>
            </w:r>
          </w:p>
        </w:tc>
        <w:tc>
          <w:tcPr>
            <w:tcW w:type="dxa" w:w="4703"/>
            <w:shd w:fill="F8F9FA"/>
          </w:tcPr>
          <w:p>
            <w:r/>
            <w:r>
              <w:rPr>
                <w:rFonts w:ascii="Calibri" w:hAnsi="Calibri"/>
                <w:color w:val="1F2937"/>
                <w:sz w:val="20"/>
              </w:rPr>
              <w:t>✅</w:t>
            </w:r>
          </w:p>
        </w:tc>
      </w:tr>
    </w:tbl>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sz w:val="18"/>
        <w:color w:val="66666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