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center"/>
      </w:pPr>
      <w:r>
        <w:rPr>
          <w:rFonts w:ascii="Calibri" w:hAnsi="Calibri"/>
          <w:b/>
          <w:color w:val="003366"/>
          <w:sz w:val="48"/>
        </w:rPr>
        <w:t>PROCEDURE WERKEN OP HOOGTE</w:t>
      </w:r>
    </w:p>
    <w:p>
      <w:pPr>
        <w:jc w:val="center"/>
      </w:pPr>
      <w:r>
        <w:rPr>
          <w:rFonts w:ascii="Calibri" w:hAnsi="Calibri"/>
          <w:color w:val="374151"/>
          <w:sz w:val="28"/>
        </w:rPr>
        <w:t>VBS Element 3 — Controle op de Exploitatie</w:t>
      </w:r>
    </w:p>
    <w:p>
      <w:pPr>
        <w:jc w:val="center"/>
      </w:pPr>
      <w:r>
        <w:rPr>
          <w:rFonts w:ascii="Calibri" w:hAnsi="Calibri"/>
          <w:b/>
          <w:color w:val="003366"/>
          <w:sz w:val="28"/>
        </w:rPr>
        <w:t>Phoenix Metals IJmuiden</w:t>
      </w:r>
    </w:p>
    <w:p/>
    <w:tbl>
      <w:tblPr>
        <w:tblStyle w:val="TableGrid"/>
        <w:tblW w:type="auto" w:w="0"/>
        <w:tblLook w:firstColumn="1" w:firstRow="1" w:lastColumn="0" w:lastRow="0" w:noHBand="0" w:noVBand="1" w:val="04A0"/>
      </w:tblPr>
      <w:tblGrid>
        <w:gridCol w:w="4703"/>
        <w:gridCol w:w="4703"/>
      </w:tblGrid>
      <w:tr>
        <w:tc>
          <w:tcPr>
            <w:tcW w:type="dxa" w:w="4703"/>
          </w:tcPr>
          <w:p>
            <w:r/>
            <w:r>
              <w:rPr>
                <w:rFonts w:ascii="Calibri" w:hAnsi="Calibri"/>
                <w:b/>
                <w:sz w:val="20"/>
              </w:rPr>
              <w:t>Project</w:t>
            </w:r>
          </w:p>
        </w:tc>
        <w:tc>
          <w:tcPr>
            <w:tcW w:type="dxa" w:w="4703"/>
          </w:tcPr>
          <w:p>
            <w:r/>
            <w:r>
              <w:rPr>
                <w:rFonts w:ascii="Calibri" w:hAnsi="Calibri"/>
                <w:sz w:val="20"/>
              </w:rPr>
              <w:t>2026-PM-VBS-Element3</w:t>
            </w:r>
          </w:p>
        </w:tc>
      </w:tr>
      <w:tr>
        <w:tc>
          <w:tcPr>
            <w:tcW w:type="dxa" w:w="4703"/>
          </w:tcPr>
          <w:p>
            <w:r/>
            <w:r>
              <w:rPr>
                <w:rFonts w:ascii="Calibri" w:hAnsi="Calibri"/>
                <w:b/>
                <w:sz w:val="20"/>
              </w:rPr>
              <w:t>Document</w:t>
            </w:r>
          </w:p>
        </w:tc>
        <w:tc>
          <w:tcPr>
            <w:tcW w:type="dxa" w:w="4703"/>
          </w:tcPr>
          <w:p>
            <w:r/>
            <w:r>
              <w:rPr>
                <w:rFonts w:ascii="Calibri" w:hAnsi="Calibri"/>
                <w:sz w:val="20"/>
              </w:rPr>
              <w:t>PM_VBS03_04 — Procedure Werken op Hoogte</w:t>
            </w:r>
          </w:p>
        </w:tc>
      </w:tr>
      <w:tr>
        <w:tc>
          <w:tcPr>
            <w:tcW w:type="dxa" w:w="4703"/>
          </w:tcPr>
          <w:p>
            <w:r/>
            <w:r>
              <w:rPr>
                <w:rFonts w:ascii="Calibri" w:hAnsi="Calibri"/>
                <w:b/>
                <w:sz w:val="20"/>
              </w:rPr>
              <w:t>Type</w:t>
            </w:r>
          </w:p>
        </w:tc>
        <w:tc>
          <w:tcPr>
            <w:tcW w:type="dxa" w:w="4703"/>
          </w:tcPr>
          <w:p>
            <w:r/>
            <w:r>
              <w:rPr>
                <w:rFonts w:ascii="Calibri" w:hAnsi="Calibri"/>
                <w:sz w:val="20"/>
              </w:rPr>
              <w:t>Procedure</w:t>
            </w:r>
          </w:p>
        </w:tc>
      </w:tr>
      <w:tr>
        <w:tc>
          <w:tcPr>
            <w:tcW w:type="dxa" w:w="4703"/>
          </w:tcPr>
          <w:p>
            <w:r/>
            <w:r>
              <w:rPr>
                <w:rFonts w:ascii="Calibri" w:hAnsi="Calibri"/>
                <w:b/>
                <w:sz w:val="20"/>
              </w:rPr>
              <w:t>Auteur</w:t>
            </w:r>
          </w:p>
        </w:tc>
        <w:tc>
          <w:tcPr>
            <w:tcW w:type="dxa" w:w="4703"/>
          </w:tcPr>
          <w:p>
            <w:r/>
            <w:r>
              <w:rPr>
                <w:rFonts w:ascii="Calibri" w:hAnsi="Calibri"/>
                <w:sz w:val="20"/>
              </w:rPr>
              <w:t>HQ_01 HSEQ Specialist</w:t>
            </w:r>
          </w:p>
        </w:tc>
      </w:tr>
      <w:tr>
        <w:tc>
          <w:tcPr>
            <w:tcW w:type="dxa" w:w="4703"/>
          </w:tcPr>
          <w:p>
            <w:r/>
            <w:r>
              <w:rPr>
                <w:rFonts w:ascii="Calibri" w:hAnsi="Calibri"/>
                <w:b/>
                <w:sz w:val="20"/>
              </w:rPr>
              <w:t>Versie</w:t>
            </w:r>
          </w:p>
        </w:tc>
        <w:tc>
          <w:tcPr>
            <w:tcW w:type="dxa" w:w="4703"/>
          </w:tcPr>
          <w:p>
            <w:r/>
            <w:r>
              <w:rPr>
                <w:rFonts w:ascii="Calibri" w:hAnsi="Calibri"/>
                <w:sz w:val="20"/>
              </w:rPr>
              <w:t>1.0</w:t>
            </w:r>
          </w:p>
        </w:tc>
      </w:tr>
      <w:tr>
        <w:tc>
          <w:tcPr>
            <w:tcW w:type="dxa" w:w="4703"/>
          </w:tcPr>
          <w:p>
            <w:r/>
            <w:r>
              <w:rPr>
                <w:rFonts w:ascii="Calibri" w:hAnsi="Calibri"/>
                <w:b/>
                <w:sz w:val="20"/>
              </w:rPr>
              <w:t>Datum</w:t>
            </w:r>
          </w:p>
        </w:tc>
        <w:tc>
          <w:tcPr>
            <w:tcW w:type="dxa" w:w="4703"/>
          </w:tcPr>
          <w:p>
            <w:r/>
            <w:r>
              <w:rPr>
                <w:rFonts w:ascii="Calibri" w:hAnsi="Calibri"/>
                <w:sz w:val="20"/>
              </w:rPr>
              <w:t>2026-04-29</w:t>
            </w:r>
          </w:p>
        </w:tc>
      </w:tr>
      <w:tr>
        <w:tc>
          <w:tcPr>
            <w:tcW w:type="dxa" w:w="4703"/>
          </w:tcPr>
          <w:p>
            <w:r/>
            <w:r>
              <w:rPr>
                <w:rFonts w:ascii="Calibri" w:hAnsi="Calibri"/>
                <w:b/>
                <w:sz w:val="20"/>
              </w:rPr>
              <w:t>Status</w:t>
            </w:r>
          </w:p>
        </w:tc>
        <w:tc>
          <w:tcPr>
            <w:tcW w:type="dxa" w:w="4703"/>
          </w:tcPr>
          <w:p>
            <w:r/>
            <w:r>
              <w:rPr>
                <w:rFonts w:ascii="Calibri" w:hAnsi="Calibri"/>
                <w:sz w:val="20"/>
              </w:rPr>
              <w:t>Final</w:t>
            </w:r>
          </w:p>
        </w:tc>
      </w:tr>
    </w:tbl>
    <w:p>
      <w:r>
        <w:br w:type="page"/>
      </w:r>
    </w:p>
    <w:p>
      <w:pPr>
        <w:pStyle w:val="Heading1"/>
      </w:pPr>
      <w:r>
        <w:t>Documentbeheersing</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val="clear"/>
          </w:tcPr>
          <w:p>
            <w:pPr>
              <w:jc w:val="left"/>
            </w:pPr>
            <w:r/>
            <w:r>
              <w:rPr>
                <w:rFonts w:ascii="Calibri" w:hAnsi="Calibri"/>
                <w:b/>
                <w:color w:val="FFFFFF"/>
                <w:sz w:val="20"/>
              </w:rPr>
              <w:t>Versie</w:t>
            </w:r>
          </w:p>
        </w:tc>
        <w:tc>
          <w:tcPr>
            <w:tcW w:type="dxa" w:w="2351"/>
            <w:shd w:fill="003366" w:val="clear"/>
          </w:tcPr>
          <w:p>
            <w:pPr>
              <w:jc w:val="left"/>
            </w:pPr>
            <w:r/>
            <w:r>
              <w:rPr>
                <w:rFonts w:ascii="Calibri" w:hAnsi="Calibri"/>
                <w:b/>
                <w:color w:val="FFFFFF"/>
                <w:sz w:val="20"/>
              </w:rPr>
              <w:t>Datum</w:t>
            </w:r>
          </w:p>
        </w:tc>
        <w:tc>
          <w:tcPr>
            <w:tcW w:type="dxa" w:w="2351"/>
            <w:shd w:fill="003366" w:val="clear"/>
          </w:tcPr>
          <w:p>
            <w:pPr>
              <w:jc w:val="left"/>
            </w:pPr>
            <w:r/>
            <w:r>
              <w:rPr>
                <w:rFonts w:ascii="Calibri" w:hAnsi="Calibri"/>
                <w:b/>
                <w:color w:val="FFFFFF"/>
                <w:sz w:val="20"/>
              </w:rPr>
              <w:t>Auteur</w:t>
            </w:r>
          </w:p>
        </w:tc>
        <w:tc>
          <w:tcPr>
            <w:tcW w:type="dxa" w:w="2351"/>
            <w:shd w:fill="003366" w:val="clear"/>
          </w:tcPr>
          <w:p>
            <w:pPr>
              <w:jc w:val="left"/>
            </w:pPr>
            <w:r/>
            <w:r>
              <w:rPr>
                <w:rFonts w:ascii="Calibri" w:hAnsi="Calibri"/>
                <w:b/>
                <w:color w:val="FFFFFF"/>
                <w:sz w:val="20"/>
              </w:rPr>
              <w:t>Wijziging</w:t>
            </w:r>
          </w:p>
        </w:tc>
      </w:tr>
      <w:tr>
        <w:tc>
          <w:tcPr>
            <w:tcW w:type="dxa" w:w="2351"/>
          </w:tcPr>
          <w:p>
            <w:r/>
            <w:r>
              <w:rPr>
                <w:rFonts w:ascii="Calibri" w:hAnsi="Calibri"/>
                <w:color w:val="1F2937"/>
                <w:sz w:val="20"/>
              </w:rPr>
              <w:t>1.0</w:t>
            </w:r>
          </w:p>
        </w:tc>
        <w:tc>
          <w:tcPr>
            <w:tcW w:type="dxa" w:w="2351"/>
          </w:tcPr>
          <w:p>
            <w:r/>
            <w:r>
              <w:rPr>
                <w:rFonts w:ascii="Calibri" w:hAnsi="Calibri"/>
                <w:color w:val="1F2937"/>
                <w:sz w:val="20"/>
              </w:rPr>
              <w:t>2026-04-29</w:t>
            </w:r>
          </w:p>
        </w:tc>
        <w:tc>
          <w:tcPr>
            <w:tcW w:type="dxa" w:w="2351"/>
          </w:tcPr>
          <w:p>
            <w:r/>
            <w:r>
              <w:rPr>
                <w:rFonts w:ascii="Calibri" w:hAnsi="Calibri"/>
                <w:color w:val="1F2937"/>
                <w:sz w:val="20"/>
              </w:rPr>
              <w:t>HQ_01</w:t>
            </w:r>
          </w:p>
        </w:tc>
        <w:tc>
          <w:tcPr>
            <w:tcW w:type="dxa" w:w="2351"/>
          </w:tcPr>
          <w:p>
            <w:r/>
            <w:r>
              <w:rPr>
                <w:rFonts w:ascii="Calibri" w:hAnsi="Calibri"/>
                <w:color w:val="1F2937"/>
                <w:sz w:val="20"/>
              </w:rPr>
              <w:t>Eerste versie — VBS Element 3 Document #4</w:t>
            </w:r>
          </w:p>
        </w:tc>
      </w:tr>
    </w:tbl>
    <w:p/>
    <w:p>
      <w:pPr>
        <w:pStyle w:val="Heading2"/>
      </w:pPr>
      <w:r>
        <w:t>Goedkeuring</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val="clear"/>
          </w:tcPr>
          <w:p>
            <w:pPr>
              <w:jc w:val="left"/>
            </w:pPr>
            <w:r/>
            <w:r>
              <w:rPr>
                <w:rFonts w:ascii="Calibri" w:hAnsi="Calibri"/>
                <w:b/>
                <w:color w:val="FFFFFF"/>
                <w:sz w:val="20"/>
              </w:rPr>
              <w:t>Rol</w:t>
            </w:r>
          </w:p>
        </w:tc>
        <w:tc>
          <w:tcPr>
            <w:tcW w:type="dxa" w:w="2351"/>
            <w:shd w:fill="003366" w:val="clear"/>
          </w:tcPr>
          <w:p>
            <w:pPr>
              <w:jc w:val="left"/>
            </w:pPr>
            <w:r/>
            <w:r>
              <w:rPr>
                <w:rFonts w:ascii="Calibri" w:hAnsi="Calibri"/>
                <w:b/>
                <w:color w:val="FFFFFF"/>
                <w:sz w:val="20"/>
              </w:rPr>
              <w:t>Naam</w:t>
            </w:r>
          </w:p>
        </w:tc>
        <w:tc>
          <w:tcPr>
            <w:tcW w:type="dxa" w:w="2351"/>
            <w:shd w:fill="003366" w:val="clear"/>
          </w:tcPr>
          <w:p>
            <w:pPr>
              <w:jc w:val="left"/>
            </w:pPr>
            <w:r/>
            <w:r>
              <w:rPr>
                <w:rFonts w:ascii="Calibri" w:hAnsi="Calibri"/>
                <w:b/>
                <w:color w:val="FFFFFF"/>
                <w:sz w:val="20"/>
              </w:rPr>
              <w:t>Datum</w:t>
            </w:r>
          </w:p>
        </w:tc>
        <w:tc>
          <w:tcPr>
            <w:tcW w:type="dxa" w:w="2351"/>
            <w:shd w:fill="003366" w:val="clear"/>
          </w:tcPr>
          <w:p>
            <w:pPr>
              <w:jc w:val="left"/>
            </w:pPr>
            <w:r/>
            <w:r>
              <w:rPr>
                <w:rFonts w:ascii="Calibri" w:hAnsi="Calibri"/>
                <w:b/>
                <w:color w:val="FFFFFF"/>
                <w:sz w:val="20"/>
              </w:rPr>
              <w:t>Handtekening</w:t>
            </w:r>
          </w:p>
        </w:tc>
      </w:tr>
      <w:tr>
        <w:tc>
          <w:tcPr>
            <w:tcW w:type="dxa" w:w="2351"/>
          </w:tcPr>
          <w:p>
            <w:r/>
            <w:r>
              <w:rPr>
                <w:rFonts w:ascii="Calibri" w:hAnsi="Calibri"/>
                <w:color w:val="1F2937"/>
                <w:sz w:val="20"/>
              </w:rPr>
              <w:t>Opsteller</w:t>
            </w:r>
          </w:p>
        </w:tc>
        <w:tc>
          <w:tcPr>
            <w:tcW w:type="dxa" w:w="2351"/>
          </w:tcPr>
          <w:p>
            <w:r/>
            <w:r>
              <w:rPr>
                <w:rFonts w:ascii="Calibri" w:hAnsi="Calibri"/>
                <w:color w:val="1F2937"/>
                <w:sz w:val="20"/>
              </w:rPr>
              <w:t>HQ_01 HSEQ Specialist</w:t>
            </w:r>
          </w:p>
        </w:tc>
        <w:tc>
          <w:tcPr>
            <w:tcW w:type="dxa" w:w="2351"/>
          </w:tcPr>
          <w:p>
            <w:r/>
            <w:r>
              <w:rPr>
                <w:rFonts w:ascii="Calibri" w:hAnsi="Calibri"/>
                <w:color w:val="1F2937"/>
                <w:sz w:val="20"/>
              </w:rPr>
              <w:t>2026-04-29</w:t>
            </w:r>
          </w:p>
        </w:tc>
        <w:tc>
          <w:tcPr>
            <w:tcW w:type="dxa" w:w="2351"/>
          </w:tcPr>
          <w:p>
            <w:r/>
            <w:r>
              <w:rPr>
                <w:rFonts w:ascii="Calibri" w:hAnsi="Calibri"/>
                <w:color w:val="1F2937"/>
                <w:sz w:val="20"/>
              </w:rPr>
            </w:r>
          </w:p>
        </w:tc>
      </w:tr>
      <w:tr>
        <w:tc>
          <w:tcPr>
            <w:tcW w:type="dxa" w:w="2351"/>
            <w:shd w:fill="F8F9FA" w:val="clear"/>
          </w:tcPr>
          <w:p>
            <w:r/>
            <w:r>
              <w:rPr>
                <w:rFonts w:ascii="Calibri" w:hAnsi="Calibri"/>
                <w:color w:val="1F2937"/>
                <w:sz w:val="20"/>
              </w:rPr>
              <w:t>Beoordelaar</w:t>
            </w:r>
          </w:p>
        </w:tc>
        <w:tc>
          <w:tcPr>
            <w:tcW w:type="dxa" w:w="2351"/>
            <w:shd w:fill="F8F9FA" w:val="clear"/>
          </w:tcPr>
          <w:p>
            <w:r/>
            <w:r>
              <w:rPr>
                <w:rFonts w:ascii="Calibri" w:hAnsi="Calibri"/>
                <w:color w:val="1F2937"/>
                <w:sz w:val="20"/>
              </w:rPr>
              <w:t>Kas (Director of Operations)</w:t>
            </w:r>
          </w:p>
        </w:tc>
        <w:tc>
          <w:tcPr>
            <w:tcW w:type="dxa" w:w="2351"/>
            <w:shd w:fill="F8F9FA" w:val="clear"/>
          </w:tcPr>
          <w:p>
            <w:r/>
            <w:r>
              <w:rPr>
                <w:rFonts w:ascii="Calibri" w:hAnsi="Calibri"/>
                <w:color w:val="1F2937"/>
                <w:sz w:val="20"/>
              </w:rPr>
            </w:r>
          </w:p>
        </w:tc>
        <w:tc>
          <w:tcPr>
            <w:tcW w:type="dxa" w:w="2351"/>
            <w:shd w:fill="F8F9FA" w:val="clear"/>
          </w:tcPr>
          <w:p>
            <w:r/>
            <w:r>
              <w:rPr>
                <w:rFonts w:ascii="Calibri" w:hAnsi="Calibri"/>
                <w:color w:val="1F2937"/>
                <w:sz w:val="20"/>
              </w:rPr>
            </w:r>
          </w:p>
        </w:tc>
      </w:tr>
      <w:tr>
        <w:tc>
          <w:tcPr>
            <w:tcW w:type="dxa" w:w="2351"/>
          </w:tcPr>
          <w:p>
            <w:r/>
            <w:r>
              <w:rPr>
                <w:rFonts w:ascii="Calibri" w:hAnsi="Calibri"/>
                <w:color w:val="1F2937"/>
                <w:sz w:val="20"/>
              </w:rPr>
              <w:t>Goedkeurder</w:t>
            </w:r>
          </w:p>
        </w:tc>
        <w:tc>
          <w:tcPr>
            <w:tcW w:type="dxa" w:w="2351"/>
          </w:tcPr>
          <w:p>
            <w:r/>
            <w:r>
              <w:rPr>
                <w:rFonts w:ascii="Calibri" w:hAnsi="Calibri"/>
                <w:color w:val="1F2937"/>
                <w:sz w:val="20"/>
              </w:rPr>
              <w:t>Directie Phoenix Metals</w:t>
            </w:r>
          </w:p>
        </w:tc>
        <w:tc>
          <w:tcPr>
            <w:tcW w:type="dxa" w:w="2351"/>
          </w:tcPr>
          <w:p>
            <w:r/>
            <w:r>
              <w:rPr>
                <w:rFonts w:ascii="Calibri" w:hAnsi="Calibri"/>
                <w:color w:val="1F2937"/>
                <w:sz w:val="20"/>
              </w:rPr>
            </w:r>
          </w:p>
        </w:tc>
        <w:tc>
          <w:tcPr>
            <w:tcW w:type="dxa" w:w="2351"/>
          </w:tcPr>
          <w:p>
            <w:r/>
            <w:r>
              <w:rPr>
                <w:rFonts w:ascii="Calibri" w:hAnsi="Calibri"/>
                <w:color w:val="1F2937"/>
                <w:sz w:val="20"/>
              </w:rPr>
            </w:r>
          </w:p>
        </w:tc>
      </w:tr>
    </w:tbl>
    <w:p>
      <w:r>
        <w:br w:type="page"/>
      </w:r>
    </w:p>
    <w:p>
      <w:pPr>
        <w:pStyle w:val="Heading1"/>
      </w:pPr>
      <w:r>
        <w:t>1. Doel en Scope</w:t>
      </w:r>
    </w:p>
    <w:p>
      <w:pPr>
        <w:pStyle w:val="Heading2"/>
      </w:pPr>
      <w:r>
        <w:t>1.1 Doel</w:t>
      </w:r>
    </w:p>
    <w:p>
      <w:r>
        <w:t>Deze procedure definieert de veiligheidsmaatregelen en werkmethoden voor alle werkzaamheden op hoogte bij Phoenix Metals IJmuiden. Het doel is het voorkomen van valincidenten en letsel door vallende objecten door een gestructureerde aanpak conform PE-290-02-07 [1].</w:t>
      </w:r>
    </w:p>
    <w:p>
      <w:pPr>
        <w:pStyle w:val="Heading2"/>
      </w:pPr>
      <w:r>
        <w:t>1.2 Scope</w:t>
      </w:r>
    </w:p>
    <w:p>
      <w:r>
        <w:t>Werken op hoogte omvat alle werkzaamheden waarbij sprake is van een valgevaar vanaf een hoogte van meer dan 2 meter. Dit omvat werkzaamheden aan steigers, ladders, daken, hijskraanbereik, opslagtanks, en constructies binnen de Phoenix Metals vestiging IJmuiden [1].</w:t>
      </w:r>
    </w:p>
    <w:p>
      <w:r>
        <w:t>Deze procedure is van toepassing op alle medewerkers, aannemers, en derden die hoogtewerkzaamheden uitvoeren op het Phoenix Metals terrein.</w:t>
      </w:r>
    </w:p>
    <w:p>
      <w:pPr>
        <w:pStyle w:val="Heading1"/>
      </w:pPr>
      <w:r>
        <w:t>2. Wettelijk Kader</w:t>
      </w:r>
    </w:p>
    <w:p>
      <w:r>
        <w:t>Deze procedure is gebaseerd op de volgende wet- en regelgeving:</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val="clear"/>
          </w:tcPr>
          <w:p>
            <w:pPr>
              <w:jc w:val="left"/>
            </w:pPr>
            <w:r/>
            <w:r>
              <w:rPr>
                <w:rFonts w:ascii="Calibri" w:hAnsi="Calibri"/>
                <w:b/>
                <w:color w:val="FFFFFF"/>
                <w:sz w:val="20"/>
              </w:rPr>
              <w:t>Bron</w:t>
            </w:r>
          </w:p>
        </w:tc>
        <w:tc>
          <w:tcPr>
            <w:tcW w:type="dxa" w:w="3135"/>
            <w:shd w:fill="003366" w:val="clear"/>
          </w:tcPr>
          <w:p>
            <w:pPr>
              <w:jc w:val="left"/>
            </w:pPr>
            <w:r/>
            <w:r>
              <w:rPr>
                <w:rFonts w:ascii="Calibri" w:hAnsi="Calibri"/>
                <w:b/>
                <w:color w:val="FFFFFF"/>
                <w:sz w:val="20"/>
              </w:rPr>
              <w:t>Referentie</w:t>
            </w:r>
          </w:p>
        </w:tc>
        <w:tc>
          <w:tcPr>
            <w:tcW w:type="dxa" w:w="3135"/>
            <w:shd w:fill="003366" w:val="clear"/>
          </w:tcPr>
          <w:p>
            <w:pPr>
              <w:jc w:val="left"/>
            </w:pPr>
            <w:r/>
            <w:r>
              <w:rPr>
                <w:rFonts w:ascii="Calibri" w:hAnsi="Calibri"/>
                <w:b/>
                <w:color w:val="FFFFFF"/>
                <w:sz w:val="20"/>
              </w:rPr>
              <w:t>Relevantie</w:t>
            </w:r>
          </w:p>
        </w:tc>
      </w:tr>
      <w:tr>
        <w:tc>
          <w:tcPr>
            <w:tcW w:type="dxa" w:w="3135"/>
          </w:tcPr>
          <w:p>
            <w:r/>
            <w:r>
              <w:rPr>
                <w:rFonts w:ascii="Calibri" w:hAnsi="Calibri"/>
                <w:color w:val="1F2937"/>
                <w:sz w:val="20"/>
              </w:rPr>
              <w:t>Arbobesluit</w:t>
            </w:r>
          </w:p>
        </w:tc>
        <w:tc>
          <w:tcPr>
            <w:tcW w:type="dxa" w:w="3135"/>
          </w:tcPr>
          <w:p>
            <w:r/>
            <w:r>
              <w:rPr>
                <w:rFonts w:ascii="Calibri" w:hAnsi="Calibri"/>
                <w:color w:val="1F2937"/>
                <w:sz w:val="20"/>
              </w:rPr>
              <w:t>Art. 3.16 [2]</w:t>
            </w:r>
          </w:p>
        </w:tc>
        <w:tc>
          <w:tcPr>
            <w:tcW w:type="dxa" w:w="3135"/>
          </w:tcPr>
          <w:p>
            <w:r/>
            <w:r>
              <w:rPr>
                <w:rFonts w:ascii="Calibri" w:hAnsi="Calibri"/>
                <w:color w:val="1F2937"/>
                <w:sz w:val="20"/>
              </w:rPr>
              <w:t>Algemene plicht tot valbeveiliging bij werk op hoogte</w:t>
            </w:r>
          </w:p>
        </w:tc>
      </w:tr>
      <w:tr>
        <w:tc>
          <w:tcPr>
            <w:tcW w:type="dxa" w:w="3135"/>
            <w:shd w:fill="F8F9FA" w:val="clear"/>
          </w:tcPr>
          <w:p>
            <w:r/>
            <w:r>
              <w:rPr>
                <w:rFonts w:ascii="Calibri" w:hAnsi="Calibri"/>
                <w:color w:val="1F2937"/>
                <w:sz w:val="20"/>
              </w:rPr>
              <w:t>NEN-EN 363</w:t>
            </w:r>
          </w:p>
        </w:tc>
        <w:tc>
          <w:tcPr>
            <w:tcW w:type="dxa" w:w="3135"/>
            <w:shd w:fill="F8F9FA" w:val="clear"/>
          </w:tcPr>
          <w:p>
            <w:r/>
            <w:r>
              <w:rPr>
                <w:rFonts w:ascii="Calibri" w:hAnsi="Calibri"/>
                <w:color w:val="1F2937"/>
                <w:sz w:val="20"/>
              </w:rPr>
              <w:t>NEN-EN 363 [3]</w:t>
            </w:r>
          </w:p>
        </w:tc>
        <w:tc>
          <w:tcPr>
            <w:tcW w:type="dxa" w:w="3135"/>
            <w:shd w:fill="F8F9FA" w:val="clear"/>
          </w:tcPr>
          <w:p>
            <w:r/>
            <w:r>
              <w:rPr>
                <w:rFonts w:ascii="Calibri" w:hAnsi="Calibri"/>
                <w:color w:val="1F2937"/>
                <w:sz w:val="20"/>
              </w:rPr>
              <w:t>Persoonlijke valbeveiligingssystemen — algemeen</w:t>
            </w:r>
          </w:p>
        </w:tc>
      </w:tr>
      <w:tr>
        <w:tc>
          <w:tcPr>
            <w:tcW w:type="dxa" w:w="3135"/>
          </w:tcPr>
          <w:p>
            <w:r/>
            <w:r>
              <w:rPr>
                <w:rFonts w:ascii="Calibri" w:hAnsi="Calibri"/>
                <w:color w:val="1F2937"/>
                <w:sz w:val="20"/>
              </w:rPr>
              <w:t>NEN-EN 353-1/2</w:t>
            </w:r>
          </w:p>
        </w:tc>
        <w:tc>
          <w:tcPr>
            <w:tcW w:type="dxa" w:w="3135"/>
          </w:tcPr>
          <w:p>
            <w:r/>
            <w:r>
              <w:rPr>
                <w:rFonts w:ascii="Calibri" w:hAnsi="Calibri"/>
                <w:color w:val="1F2937"/>
                <w:sz w:val="20"/>
              </w:rPr>
              <w:t>NEN-EN 353 [3]</w:t>
            </w:r>
          </w:p>
        </w:tc>
        <w:tc>
          <w:tcPr>
            <w:tcW w:type="dxa" w:w="3135"/>
          </w:tcPr>
          <w:p>
            <w:r/>
            <w:r>
              <w:rPr>
                <w:rFonts w:ascii="Calibri" w:hAnsi="Calibri"/>
                <w:color w:val="1F2937"/>
                <w:sz w:val="20"/>
              </w:rPr>
              <w:t>G geleide valbeveiligingssystemen</w:t>
            </w:r>
          </w:p>
        </w:tc>
      </w:tr>
      <w:tr>
        <w:tc>
          <w:tcPr>
            <w:tcW w:type="dxa" w:w="3135"/>
            <w:shd w:fill="F8F9FA" w:val="clear"/>
          </w:tcPr>
          <w:p>
            <w:r/>
            <w:r>
              <w:rPr>
                <w:rFonts w:ascii="Calibri" w:hAnsi="Calibri"/>
                <w:color w:val="1F2937"/>
                <w:sz w:val="20"/>
              </w:rPr>
              <w:t>NEN-EN 354</w:t>
            </w:r>
          </w:p>
        </w:tc>
        <w:tc>
          <w:tcPr>
            <w:tcW w:type="dxa" w:w="3135"/>
            <w:shd w:fill="F8F9FA" w:val="clear"/>
          </w:tcPr>
          <w:p>
            <w:r/>
            <w:r>
              <w:rPr>
                <w:rFonts w:ascii="Calibri" w:hAnsi="Calibri"/>
                <w:color w:val="1F2937"/>
                <w:sz w:val="20"/>
              </w:rPr>
              <w:t>NEN-EN 354 [3]</w:t>
            </w:r>
          </w:p>
        </w:tc>
        <w:tc>
          <w:tcPr>
            <w:tcW w:type="dxa" w:w="3135"/>
            <w:shd w:fill="F8F9FA" w:val="clear"/>
          </w:tcPr>
          <w:p>
            <w:r/>
            <w:r>
              <w:rPr>
                <w:rFonts w:ascii="Calibri" w:hAnsi="Calibri"/>
                <w:color w:val="1F2937"/>
                <w:sz w:val="20"/>
              </w:rPr>
              <w:t>Ankerlijnen</w:t>
            </w:r>
          </w:p>
        </w:tc>
      </w:tr>
      <w:tr>
        <w:tc>
          <w:tcPr>
            <w:tcW w:type="dxa" w:w="3135"/>
          </w:tcPr>
          <w:p>
            <w:r/>
            <w:r>
              <w:rPr>
                <w:rFonts w:ascii="Calibri" w:hAnsi="Calibri"/>
                <w:color w:val="1F2937"/>
                <w:sz w:val="20"/>
              </w:rPr>
              <w:t>NEN-EN 355</w:t>
            </w:r>
          </w:p>
        </w:tc>
        <w:tc>
          <w:tcPr>
            <w:tcW w:type="dxa" w:w="3135"/>
          </w:tcPr>
          <w:p>
            <w:r/>
            <w:r>
              <w:rPr>
                <w:rFonts w:ascii="Calibri" w:hAnsi="Calibri"/>
                <w:color w:val="1F2937"/>
                <w:sz w:val="20"/>
              </w:rPr>
              <w:t>NEN-EN 355 [3]</w:t>
            </w:r>
          </w:p>
        </w:tc>
        <w:tc>
          <w:tcPr>
            <w:tcW w:type="dxa" w:w="3135"/>
          </w:tcPr>
          <w:p>
            <w:r/>
            <w:r>
              <w:rPr>
                <w:rFonts w:ascii="Calibri" w:hAnsi="Calibri"/>
                <w:color w:val="1F2937"/>
                <w:sz w:val="20"/>
              </w:rPr>
              <w:t>Energy absorbers</w:t>
            </w:r>
          </w:p>
        </w:tc>
      </w:tr>
      <w:tr>
        <w:tc>
          <w:tcPr>
            <w:tcW w:type="dxa" w:w="3135"/>
            <w:shd w:fill="F8F9FA" w:val="clear"/>
          </w:tcPr>
          <w:p>
            <w:r/>
            <w:r>
              <w:rPr>
                <w:rFonts w:ascii="Calibri" w:hAnsi="Calibri"/>
                <w:color w:val="1F2937"/>
                <w:sz w:val="20"/>
              </w:rPr>
              <w:t>NEN-EN 358</w:t>
            </w:r>
          </w:p>
        </w:tc>
        <w:tc>
          <w:tcPr>
            <w:tcW w:type="dxa" w:w="3135"/>
            <w:shd w:fill="F8F9FA" w:val="clear"/>
          </w:tcPr>
          <w:p>
            <w:r/>
            <w:r>
              <w:rPr>
                <w:rFonts w:ascii="Calibri" w:hAnsi="Calibri"/>
                <w:color w:val="1F2937"/>
                <w:sz w:val="20"/>
              </w:rPr>
              <w:t>NEN-EN 358 [3]</w:t>
            </w:r>
          </w:p>
        </w:tc>
        <w:tc>
          <w:tcPr>
            <w:tcW w:type="dxa" w:w="3135"/>
            <w:shd w:fill="F8F9FA" w:val="clear"/>
          </w:tcPr>
          <w:p>
            <w:r/>
            <w:r>
              <w:rPr>
                <w:rFonts w:ascii="Calibri" w:hAnsi="Calibri"/>
                <w:color w:val="1F2937"/>
                <w:sz w:val="20"/>
              </w:rPr>
              <w:t>Gordels en ankerlijnen voor werkpositie</w:t>
            </w:r>
          </w:p>
        </w:tc>
      </w:tr>
      <w:tr>
        <w:tc>
          <w:tcPr>
            <w:tcW w:type="dxa" w:w="3135"/>
          </w:tcPr>
          <w:p>
            <w:r/>
            <w:r>
              <w:rPr>
                <w:rFonts w:ascii="Calibri" w:hAnsi="Calibri"/>
                <w:color w:val="1F2937"/>
                <w:sz w:val="20"/>
              </w:rPr>
              <w:t>NEN-EN 360</w:t>
            </w:r>
          </w:p>
        </w:tc>
        <w:tc>
          <w:tcPr>
            <w:tcW w:type="dxa" w:w="3135"/>
          </w:tcPr>
          <w:p>
            <w:r/>
            <w:r>
              <w:rPr>
                <w:rFonts w:ascii="Calibri" w:hAnsi="Calibri"/>
                <w:color w:val="1F2937"/>
                <w:sz w:val="20"/>
              </w:rPr>
              <w:t>NEN-EN 360 [3]</w:t>
            </w:r>
          </w:p>
        </w:tc>
        <w:tc>
          <w:tcPr>
            <w:tcW w:type="dxa" w:w="3135"/>
          </w:tcPr>
          <w:p>
            <w:r/>
            <w:r>
              <w:rPr>
                <w:rFonts w:ascii="Calibri" w:hAnsi="Calibri"/>
                <w:color w:val="1F2937"/>
                <w:sz w:val="20"/>
              </w:rPr>
              <w:t>Inklapbare valbeveiligingssystemen</w:t>
            </w:r>
          </w:p>
        </w:tc>
      </w:tr>
      <w:tr>
        <w:tc>
          <w:tcPr>
            <w:tcW w:type="dxa" w:w="3135"/>
            <w:shd w:fill="F8F9FA" w:val="clear"/>
          </w:tcPr>
          <w:p>
            <w:r/>
            <w:r>
              <w:rPr>
                <w:rFonts w:ascii="Calibri" w:hAnsi="Calibri"/>
                <w:color w:val="1F2937"/>
                <w:sz w:val="20"/>
              </w:rPr>
              <w:t>NEN-EN 361</w:t>
            </w:r>
          </w:p>
        </w:tc>
        <w:tc>
          <w:tcPr>
            <w:tcW w:type="dxa" w:w="3135"/>
            <w:shd w:fill="F8F9FA" w:val="clear"/>
          </w:tcPr>
          <w:p>
            <w:r/>
            <w:r>
              <w:rPr>
                <w:rFonts w:ascii="Calibri" w:hAnsi="Calibri"/>
                <w:color w:val="1F2937"/>
                <w:sz w:val="20"/>
              </w:rPr>
              <w:t>NEN-EN 361 [3]</w:t>
            </w:r>
          </w:p>
        </w:tc>
        <w:tc>
          <w:tcPr>
            <w:tcW w:type="dxa" w:w="3135"/>
            <w:shd w:fill="F8F9FA" w:val="clear"/>
          </w:tcPr>
          <w:p>
            <w:r/>
            <w:r>
              <w:rPr>
                <w:rFonts w:ascii="Calibri" w:hAnsi="Calibri"/>
                <w:color w:val="1F2937"/>
                <w:sz w:val="20"/>
              </w:rPr>
              <w:t>Volledige harnassen</w:t>
            </w:r>
          </w:p>
        </w:tc>
      </w:tr>
      <w:tr>
        <w:tc>
          <w:tcPr>
            <w:tcW w:type="dxa" w:w="3135"/>
          </w:tcPr>
          <w:p>
            <w:r/>
            <w:r>
              <w:rPr>
                <w:rFonts w:ascii="Calibri" w:hAnsi="Calibri"/>
                <w:color w:val="1F2937"/>
                <w:sz w:val="20"/>
              </w:rPr>
              <w:t>NEN-EN 362</w:t>
            </w:r>
          </w:p>
        </w:tc>
        <w:tc>
          <w:tcPr>
            <w:tcW w:type="dxa" w:w="3135"/>
          </w:tcPr>
          <w:p>
            <w:r/>
            <w:r>
              <w:rPr>
                <w:rFonts w:ascii="Calibri" w:hAnsi="Calibri"/>
                <w:color w:val="1F2937"/>
                <w:sz w:val="20"/>
              </w:rPr>
              <w:t>NEN-EN 362 [3]</w:t>
            </w:r>
          </w:p>
        </w:tc>
        <w:tc>
          <w:tcPr>
            <w:tcW w:type="dxa" w:w="3135"/>
          </w:tcPr>
          <w:p>
            <w:r/>
            <w:r>
              <w:rPr>
                <w:rFonts w:ascii="Calibri" w:hAnsi="Calibri"/>
                <w:color w:val="1F2937"/>
                <w:sz w:val="20"/>
              </w:rPr>
              <w:t>Connectors (karabijnhaken)</w:t>
            </w:r>
          </w:p>
        </w:tc>
      </w:tr>
      <w:tr>
        <w:tc>
          <w:tcPr>
            <w:tcW w:type="dxa" w:w="3135"/>
            <w:shd w:fill="F8F9FA" w:val="clear"/>
          </w:tcPr>
          <w:p>
            <w:r/>
            <w:r>
              <w:rPr>
                <w:rFonts w:ascii="Calibri" w:hAnsi="Calibri"/>
                <w:color w:val="1F2937"/>
                <w:sz w:val="20"/>
              </w:rPr>
              <w:t>NEN-EN 795</w:t>
            </w:r>
          </w:p>
        </w:tc>
        <w:tc>
          <w:tcPr>
            <w:tcW w:type="dxa" w:w="3135"/>
            <w:shd w:fill="F8F9FA" w:val="clear"/>
          </w:tcPr>
          <w:p>
            <w:r/>
            <w:r>
              <w:rPr>
                <w:rFonts w:ascii="Calibri" w:hAnsi="Calibri"/>
                <w:color w:val="1F2937"/>
                <w:sz w:val="20"/>
              </w:rPr>
              <w:t>NEN-EN 795 [3]</w:t>
            </w:r>
          </w:p>
        </w:tc>
        <w:tc>
          <w:tcPr>
            <w:tcW w:type="dxa" w:w="3135"/>
            <w:shd w:fill="F8F9FA" w:val="clear"/>
          </w:tcPr>
          <w:p>
            <w:r/>
            <w:r>
              <w:rPr>
                <w:rFonts w:ascii="Calibri" w:hAnsi="Calibri"/>
                <w:color w:val="1F2937"/>
                <w:sz w:val="20"/>
              </w:rPr>
              <w:t>Ankerpunten — vereisten en classificatie</w:t>
            </w:r>
          </w:p>
        </w:tc>
      </w:tr>
      <w:tr>
        <w:tc>
          <w:tcPr>
            <w:tcW w:type="dxa" w:w="3135"/>
          </w:tcPr>
          <w:p>
            <w:r/>
            <w:r>
              <w:rPr>
                <w:rFonts w:ascii="Calibri" w:hAnsi="Calibri"/>
                <w:color w:val="1F2937"/>
                <w:sz w:val="20"/>
              </w:rPr>
              <w:t>NTA 8620</w:t>
            </w:r>
          </w:p>
        </w:tc>
        <w:tc>
          <w:tcPr>
            <w:tcW w:type="dxa" w:w="3135"/>
          </w:tcPr>
          <w:p>
            <w:r/>
            <w:r>
              <w:rPr>
                <w:rFonts w:ascii="Calibri" w:hAnsi="Calibri"/>
                <w:color w:val="1F2937"/>
                <w:sz w:val="20"/>
              </w:rPr>
              <w:t>NTA 8620 [4]</w:t>
            </w:r>
          </w:p>
        </w:tc>
        <w:tc>
          <w:tcPr>
            <w:tcW w:type="dxa" w:w="3135"/>
          </w:tcPr>
          <w:p>
            <w:r/>
            <w:r>
              <w:rPr>
                <w:rFonts w:ascii="Calibri" w:hAnsi="Calibri"/>
                <w:color w:val="1F2937"/>
                <w:sz w:val="20"/>
              </w:rPr>
              <w:t>BRZO veiligheidsmanagementsysteem — Control of Work</w:t>
            </w:r>
          </w:p>
        </w:tc>
      </w:tr>
    </w:tbl>
    <w:p>
      <w:pPr>
        <w:pStyle w:val="Heading1"/>
      </w:pPr>
      <w:r>
        <w:t>3. Definities</w:t>
      </w:r>
    </w:p>
    <w:tbl>
      <w:tblPr>
        <w:tblStyle w:val="TableGrid"/>
        <w:tblW w:type="auto" w:w="0"/>
        <w:jc w:val="center"/>
        <w:tblLook w:firstColumn="1" w:firstRow="1" w:lastColumn="0" w:lastRow="0" w:noHBand="0" w:noVBand="1" w:val="04A0"/>
      </w:tblPr>
      <w:tblGrid>
        <w:gridCol w:w="4703"/>
        <w:gridCol w:w="4703"/>
      </w:tblGrid>
      <w:tr>
        <w:tc>
          <w:tcPr>
            <w:tcW w:type="dxa" w:w="4703"/>
            <w:shd w:fill="003366" w:val="clear"/>
          </w:tcPr>
          <w:p>
            <w:pPr>
              <w:jc w:val="left"/>
            </w:pPr>
            <w:r/>
            <w:r>
              <w:rPr>
                <w:rFonts w:ascii="Calibri" w:hAnsi="Calibri"/>
                <w:b/>
                <w:color w:val="FFFFFF"/>
                <w:sz w:val="20"/>
              </w:rPr>
              <w:t>Term</w:t>
            </w:r>
          </w:p>
        </w:tc>
        <w:tc>
          <w:tcPr>
            <w:tcW w:type="dxa" w:w="4703"/>
            <w:shd w:fill="003366" w:val="clear"/>
          </w:tcPr>
          <w:p>
            <w:pPr>
              <w:jc w:val="left"/>
            </w:pPr>
            <w:r/>
            <w:r>
              <w:rPr>
                <w:rFonts w:ascii="Calibri" w:hAnsi="Calibri"/>
                <w:b/>
                <w:color w:val="FFFFFF"/>
                <w:sz w:val="20"/>
              </w:rPr>
              <w:t>Definitie</w:t>
            </w:r>
          </w:p>
        </w:tc>
      </w:tr>
      <w:tr>
        <w:tc>
          <w:tcPr>
            <w:tcW w:type="dxa" w:w="4703"/>
          </w:tcPr>
          <w:p>
            <w:r/>
            <w:r>
              <w:rPr>
                <w:rFonts w:ascii="Calibri" w:hAnsi="Calibri"/>
                <w:color w:val="1F2937"/>
                <w:sz w:val="20"/>
              </w:rPr>
              <w:t>Werken op hoogte</w:t>
            </w:r>
          </w:p>
        </w:tc>
        <w:tc>
          <w:tcPr>
            <w:tcW w:type="dxa" w:w="4703"/>
          </w:tcPr>
          <w:p>
            <w:r/>
            <w:r>
              <w:rPr>
                <w:rFonts w:ascii="Calibri" w:hAnsi="Calibri"/>
                <w:color w:val="1F2937"/>
                <w:sz w:val="20"/>
              </w:rPr>
              <w:t>Alle werkzaamheden op een locatie waar iemand kan vallen van een hoogte &gt;2 meter [1].</w:t>
            </w:r>
          </w:p>
        </w:tc>
      </w:tr>
      <w:tr>
        <w:tc>
          <w:tcPr>
            <w:tcW w:type="dxa" w:w="4703"/>
            <w:shd w:fill="F8F9FA" w:val="clear"/>
          </w:tcPr>
          <w:p>
            <w:r/>
            <w:r>
              <w:rPr>
                <w:rFonts w:ascii="Calibri" w:hAnsi="Calibri"/>
                <w:color w:val="1F2937"/>
                <w:sz w:val="20"/>
              </w:rPr>
              <w:t>Valbeveiliging</w:t>
            </w:r>
          </w:p>
        </w:tc>
        <w:tc>
          <w:tcPr>
            <w:tcW w:type="dxa" w:w="4703"/>
            <w:shd w:fill="F8F9FA" w:val="clear"/>
          </w:tcPr>
          <w:p>
            <w:r/>
            <w:r>
              <w:rPr>
                <w:rFonts w:ascii="Calibri" w:hAnsi="Calibri"/>
                <w:color w:val="1F2937"/>
                <w:sz w:val="20"/>
              </w:rPr>
              <w:t>Het geheel van maatregelen ter voorkoming of beperking van de gevolgen van een val.</w:t>
            </w:r>
          </w:p>
        </w:tc>
      </w:tr>
      <w:tr>
        <w:tc>
          <w:tcPr>
            <w:tcW w:type="dxa" w:w="4703"/>
          </w:tcPr>
          <w:p>
            <w:r/>
            <w:r>
              <w:rPr>
                <w:rFonts w:ascii="Calibri" w:hAnsi="Calibri"/>
                <w:color w:val="1F2937"/>
                <w:sz w:val="20"/>
              </w:rPr>
              <w:t>Valstopsysteem</w:t>
            </w:r>
          </w:p>
        </w:tc>
        <w:tc>
          <w:tcPr>
            <w:tcW w:type="dxa" w:w="4703"/>
          </w:tcPr>
          <w:p>
            <w:r/>
            <w:r>
              <w:rPr>
                <w:rFonts w:ascii="Calibri" w:hAnsi="Calibri"/>
                <w:color w:val="1F2937"/>
                <w:sz w:val="20"/>
              </w:rPr>
              <w:t>Een systeem dat een val arresteert, inclusief harnas, energy absorber en ankerlijn [3].</w:t>
            </w:r>
          </w:p>
        </w:tc>
      </w:tr>
      <w:tr>
        <w:tc>
          <w:tcPr>
            <w:tcW w:type="dxa" w:w="4703"/>
            <w:shd w:fill="F8F9FA" w:val="clear"/>
          </w:tcPr>
          <w:p>
            <w:r/>
            <w:r>
              <w:rPr>
                <w:rFonts w:ascii="Calibri" w:hAnsi="Calibri"/>
                <w:color w:val="1F2937"/>
                <w:sz w:val="20"/>
              </w:rPr>
              <w:t>Werkpositie</w:t>
            </w:r>
          </w:p>
        </w:tc>
        <w:tc>
          <w:tcPr>
            <w:tcW w:type="dxa" w:w="4703"/>
            <w:shd w:fill="F8F9FA" w:val="clear"/>
          </w:tcPr>
          <w:p>
            <w:r/>
            <w:r>
              <w:rPr>
                <w:rFonts w:ascii="Calibri" w:hAnsi="Calibri"/>
                <w:color w:val="1F2937"/>
                <w:sz w:val="20"/>
              </w:rPr>
              <w:t>Een systeem dat de gebruiker op een vaste positie houdt (werkpositiegordel) [3].</w:t>
            </w:r>
          </w:p>
        </w:tc>
      </w:tr>
      <w:tr>
        <w:tc>
          <w:tcPr>
            <w:tcW w:type="dxa" w:w="4703"/>
          </w:tcPr>
          <w:p>
            <w:r/>
            <w:r>
              <w:rPr>
                <w:rFonts w:ascii="Calibri" w:hAnsi="Calibri"/>
                <w:color w:val="1F2937"/>
                <w:sz w:val="20"/>
              </w:rPr>
              <w:t>Ankerpunt</w:t>
            </w:r>
          </w:p>
        </w:tc>
        <w:tc>
          <w:tcPr>
            <w:tcW w:type="dxa" w:w="4703"/>
          </w:tcPr>
          <w:p>
            <w:r/>
            <w:r>
              <w:rPr>
                <w:rFonts w:ascii="Calibri" w:hAnsi="Calibri"/>
                <w:color w:val="1F2937"/>
                <w:sz w:val="20"/>
              </w:rPr>
              <w:t>Een structureel punt waaraan een valbeveiligingssysteem wordt bevestigd, geschikt voor minimaal 10 kN [3].</w:t>
            </w:r>
          </w:p>
        </w:tc>
      </w:tr>
      <w:tr>
        <w:tc>
          <w:tcPr>
            <w:tcW w:type="dxa" w:w="4703"/>
            <w:shd w:fill="F8F9FA" w:val="clear"/>
          </w:tcPr>
          <w:p>
            <w:r/>
            <w:r>
              <w:rPr>
                <w:rFonts w:ascii="Calibri" w:hAnsi="Calibri"/>
                <w:color w:val="1F2937"/>
                <w:sz w:val="20"/>
              </w:rPr>
              <w:t>Steiger</w:t>
            </w:r>
          </w:p>
        </w:tc>
        <w:tc>
          <w:tcPr>
            <w:tcW w:type="dxa" w:w="4703"/>
            <w:shd w:fill="F8F9FA" w:val="clear"/>
          </w:tcPr>
          <w:p>
            <w:r/>
            <w:r>
              <w:rPr>
                <w:rFonts w:ascii="Calibri" w:hAnsi="Calibri"/>
                <w:color w:val="1F2937"/>
                <w:sz w:val="20"/>
              </w:rPr>
              <w:t>Een tijdelijke constructie die een verhoogd werkplatform biedt, inclusief leuningen en vloer.</w:t>
            </w:r>
          </w:p>
        </w:tc>
      </w:tr>
      <w:tr>
        <w:tc>
          <w:tcPr>
            <w:tcW w:type="dxa" w:w="4703"/>
          </w:tcPr>
          <w:p>
            <w:r/>
            <w:r>
              <w:rPr>
                <w:rFonts w:ascii="Calibri" w:hAnsi="Calibri"/>
                <w:color w:val="1F2937"/>
                <w:sz w:val="20"/>
              </w:rPr>
              <w:t>Ladder</w:t>
            </w:r>
          </w:p>
        </w:tc>
        <w:tc>
          <w:tcPr>
            <w:tcW w:type="dxa" w:w="4703"/>
          </w:tcPr>
          <w:p>
            <w:r/>
            <w:r>
              <w:rPr>
                <w:rFonts w:ascii="Calibri" w:hAnsi="Calibri"/>
                <w:color w:val="1F2937"/>
                <w:sz w:val="20"/>
              </w:rPr>
              <w:t>Een hulpmiddel met treden of sporten voor verticaal bereik; geen permanent werkplatform.</w:t>
            </w:r>
          </w:p>
        </w:tc>
      </w:tr>
      <w:tr>
        <w:tc>
          <w:tcPr>
            <w:tcW w:type="dxa" w:w="4703"/>
            <w:shd w:fill="F8F9FA" w:val="clear"/>
          </w:tcPr>
          <w:p>
            <w:r/>
            <w:r>
              <w:rPr>
                <w:rFonts w:ascii="Calibri" w:hAnsi="Calibri"/>
                <w:color w:val="1F2937"/>
                <w:sz w:val="20"/>
              </w:rPr>
              <w:t>Hijsen</w:t>
            </w:r>
          </w:p>
        </w:tc>
        <w:tc>
          <w:tcPr>
            <w:tcW w:type="dxa" w:w="4703"/>
            <w:shd w:fill="F8F9FA" w:val="clear"/>
          </w:tcPr>
          <w:p>
            <w:r/>
            <w:r>
              <w:rPr>
                <w:rFonts w:ascii="Calibri" w:hAnsi="Calibri"/>
                <w:color w:val="1F2937"/>
                <w:sz w:val="20"/>
              </w:rPr>
              <w:t>Het tillen of verplaatsen van lasten met behulp van een kraan, lier of takel.</w:t>
            </w:r>
          </w:p>
        </w:tc>
      </w:tr>
    </w:tbl>
    <w:p>
      <w:pPr>
        <w:pStyle w:val="Heading1"/>
      </w:pPr>
      <w:r>
        <w:t>4. Verantwoordelijkheden (RACI)</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val="clear"/>
          </w:tcPr>
          <w:p>
            <w:pPr>
              <w:jc w:val="left"/>
            </w:pPr>
            <w:r/>
            <w:r>
              <w:rPr>
                <w:rFonts w:ascii="Calibri" w:hAnsi="Calibri"/>
                <w:b/>
                <w:color w:val="FFFFFF"/>
                <w:sz w:val="20"/>
              </w:rPr>
              <w:t>Rol</w:t>
            </w:r>
          </w:p>
        </w:tc>
        <w:tc>
          <w:tcPr>
            <w:tcW w:type="dxa" w:w="3135"/>
            <w:shd w:fill="003366" w:val="clear"/>
          </w:tcPr>
          <w:p>
            <w:pPr>
              <w:jc w:val="left"/>
            </w:pPr>
            <w:r/>
            <w:r>
              <w:rPr>
                <w:rFonts w:ascii="Calibri" w:hAnsi="Calibri"/>
                <w:b/>
                <w:color w:val="FFFFFF"/>
                <w:sz w:val="20"/>
              </w:rPr>
              <w:t>R/A/C/I</w:t>
            </w:r>
          </w:p>
        </w:tc>
        <w:tc>
          <w:tcPr>
            <w:tcW w:type="dxa" w:w="3135"/>
            <w:shd w:fill="003366" w:val="clear"/>
          </w:tcPr>
          <w:p>
            <w:pPr>
              <w:jc w:val="left"/>
            </w:pPr>
            <w:r/>
            <w:r>
              <w:rPr>
                <w:rFonts w:ascii="Calibri" w:hAnsi="Calibri"/>
                <w:b/>
                <w:color w:val="FFFFFF"/>
                <w:sz w:val="20"/>
              </w:rPr>
              <w:t>Verantwoordelijkheid</w:t>
            </w:r>
          </w:p>
        </w:tc>
      </w:tr>
      <w:tr>
        <w:tc>
          <w:tcPr>
            <w:tcW w:type="dxa" w:w="3135"/>
          </w:tcPr>
          <w:p>
            <w:r/>
            <w:r>
              <w:rPr>
                <w:rFonts w:ascii="Calibri" w:hAnsi="Calibri"/>
                <w:color w:val="1F2937"/>
                <w:sz w:val="20"/>
              </w:rPr>
              <w:t>Uitvoerend medewerker</w:t>
            </w:r>
          </w:p>
        </w:tc>
        <w:tc>
          <w:tcPr>
            <w:tcW w:type="dxa" w:w="3135"/>
          </w:tcPr>
          <w:p>
            <w:r/>
            <w:r>
              <w:rPr>
                <w:rFonts w:ascii="Calibri" w:hAnsi="Calibri"/>
                <w:color w:val="1F2937"/>
                <w:sz w:val="20"/>
              </w:rPr>
              <w:t>R</w:t>
            </w:r>
          </w:p>
        </w:tc>
        <w:tc>
          <w:tcPr>
            <w:tcW w:type="dxa" w:w="3135"/>
          </w:tcPr>
          <w:p>
            <w:r/>
            <w:r>
              <w:rPr>
                <w:rFonts w:ascii="Calibri" w:hAnsi="Calibri"/>
                <w:color w:val="1F2937"/>
                <w:sz w:val="20"/>
              </w:rPr>
              <w:t>Volgt procedure, gebruikt goedgekeurde valbeveiliging, meldt afwijkingen</w:t>
            </w:r>
          </w:p>
        </w:tc>
      </w:tr>
      <w:tr>
        <w:tc>
          <w:tcPr>
            <w:tcW w:type="dxa" w:w="3135"/>
            <w:shd w:fill="F8F9FA" w:val="clear"/>
          </w:tcPr>
          <w:p>
            <w:r/>
            <w:r>
              <w:rPr>
                <w:rFonts w:ascii="Calibri" w:hAnsi="Calibri"/>
                <w:color w:val="1F2937"/>
                <w:sz w:val="20"/>
              </w:rPr>
              <w:t>Taakleider / Voorman</w:t>
            </w:r>
          </w:p>
        </w:tc>
        <w:tc>
          <w:tcPr>
            <w:tcW w:type="dxa" w:w="3135"/>
            <w:shd w:fill="F8F9FA" w:val="clear"/>
          </w:tcPr>
          <w:p>
            <w:r/>
            <w:r>
              <w:rPr>
                <w:rFonts w:ascii="Calibri" w:hAnsi="Calibri"/>
                <w:color w:val="1F2937"/>
                <w:sz w:val="20"/>
              </w:rPr>
              <w:t>A</w:t>
            </w:r>
          </w:p>
        </w:tc>
        <w:tc>
          <w:tcPr>
            <w:tcW w:type="dxa" w:w="3135"/>
            <w:shd w:fill="F8F9FA" w:val="clear"/>
          </w:tcPr>
          <w:p>
            <w:r/>
            <w:r>
              <w:rPr>
                <w:rFonts w:ascii="Calibri" w:hAnsi="Calibri"/>
                <w:color w:val="1F2937"/>
                <w:sz w:val="20"/>
              </w:rPr>
              <w:t>Keurt werkvergunning goed, zorgt voor TRA, bewaakt uitvoering</w:t>
            </w:r>
          </w:p>
        </w:tc>
      </w:tr>
      <w:tr>
        <w:tc>
          <w:tcPr>
            <w:tcW w:type="dxa" w:w="3135"/>
          </w:tcPr>
          <w:p>
            <w:r/>
            <w:r>
              <w:rPr>
                <w:rFonts w:ascii="Calibri" w:hAnsi="Calibri"/>
                <w:color w:val="1F2937"/>
                <w:sz w:val="20"/>
              </w:rPr>
              <w:t>HSEQ-afdeling</w:t>
            </w:r>
          </w:p>
        </w:tc>
        <w:tc>
          <w:tcPr>
            <w:tcW w:type="dxa" w:w="3135"/>
          </w:tcPr>
          <w:p>
            <w:r/>
            <w:r>
              <w:rPr>
                <w:rFonts w:ascii="Calibri" w:hAnsi="Calibri"/>
                <w:color w:val="1F2937"/>
                <w:sz w:val="20"/>
              </w:rPr>
              <w:t>C</w:t>
            </w:r>
          </w:p>
        </w:tc>
        <w:tc>
          <w:tcPr>
            <w:tcW w:type="dxa" w:w="3135"/>
          </w:tcPr>
          <w:p>
            <w:r/>
            <w:r>
              <w:rPr>
                <w:rFonts w:ascii="Calibri" w:hAnsi="Calibri"/>
                <w:color w:val="1F2937"/>
                <w:sz w:val="20"/>
              </w:rPr>
              <w:t>Adviseert over maatregelen, keurt valbeveiligingsuitrusting, auditeert naleving</w:t>
            </w:r>
          </w:p>
        </w:tc>
      </w:tr>
      <w:tr>
        <w:tc>
          <w:tcPr>
            <w:tcW w:type="dxa" w:w="3135"/>
            <w:shd w:fill="F8F9FA" w:val="clear"/>
          </w:tcPr>
          <w:p>
            <w:r/>
            <w:r>
              <w:rPr>
                <w:rFonts w:ascii="Calibri" w:hAnsi="Calibri"/>
                <w:color w:val="1F2937"/>
                <w:sz w:val="20"/>
              </w:rPr>
              <w:t>Directie Phoenix Metals</w:t>
            </w:r>
          </w:p>
        </w:tc>
        <w:tc>
          <w:tcPr>
            <w:tcW w:type="dxa" w:w="3135"/>
            <w:shd w:fill="F8F9FA" w:val="clear"/>
          </w:tcPr>
          <w:p>
            <w:r/>
            <w:r>
              <w:rPr>
                <w:rFonts w:ascii="Calibri" w:hAnsi="Calibri"/>
                <w:color w:val="1F2937"/>
                <w:sz w:val="20"/>
              </w:rPr>
              <w:t>I</w:t>
            </w:r>
          </w:p>
        </w:tc>
        <w:tc>
          <w:tcPr>
            <w:tcW w:type="dxa" w:w="3135"/>
            <w:shd w:fill="F8F9FA" w:val="clear"/>
          </w:tcPr>
          <w:p>
            <w:r/>
            <w:r>
              <w:rPr>
                <w:rFonts w:ascii="Calibri" w:hAnsi="Calibri"/>
                <w:color w:val="1F2937"/>
                <w:sz w:val="20"/>
              </w:rPr>
              <w:t>Op de hoogte van beleid, stelt middelen beschikbaar</w:t>
            </w:r>
          </w:p>
        </w:tc>
      </w:tr>
      <w:tr>
        <w:tc>
          <w:tcPr>
            <w:tcW w:type="dxa" w:w="3135"/>
          </w:tcPr>
          <w:p>
            <w:r/>
            <w:r>
              <w:rPr>
                <w:rFonts w:ascii="Calibri" w:hAnsi="Calibri"/>
                <w:color w:val="1F2937"/>
                <w:sz w:val="20"/>
              </w:rPr>
              <w:t>Aannemer / Derde</w:t>
            </w:r>
          </w:p>
        </w:tc>
        <w:tc>
          <w:tcPr>
            <w:tcW w:type="dxa" w:w="3135"/>
          </w:tcPr>
          <w:p>
            <w:r/>
            <w:r>
              <w:rPr>
                <w:rFonts w:ascii="Calibri" w:hAnsi="Calibri"/>
                <w:color w:val="1F2937"/>
                <w:sz w:val="20"/>
              </w:rPr>
              <w:t>R</w:t>
            </w:r>
          </w:p>
        </w:tc>
        <w:tc>
          <w:tcPr>
            <w:tcW w:type="dxa" w:w="3135"/>
          </w:tcPr>
          <w:p>
            <w:r/>
            <w:r>
              <w:rPr>
                <w:rFonts w:ascii="Calibri" w:hAnsi="Calibri"/>
                <w:color w:val="1F2937"/>
                <w:sz w:val="20"/>
              </w:rPr>
              <w:t>Volgt procedure op Phoenix Metals terrein, toont certificering</w:t>
            </w:r>
          </w:p>
        </w:tc>
      </w:tr>
      <w:tr>
        <w:tc>
          <w:tcPr>
            <w:tcW w:type="dxa" w:w="3135"/>
            <w:shd w:fill="F8F9FA" w:val="clear"/>
          </w:tcPr>
          <w:p>
            <w:r/>
            <w:r>
              <w:rPr>
                <w:rFonts w:ascii="Calibri" w:hAnsi="Calibri"/>
                <w:color w:val="1F2937"/>
                <w:sz w:val="20"/>
              </w:rPr>
              <w:t>Bedrijfsarts</w:t>
            </w:r>
          </w:p>
        </w:tc>
        <w:tc>
          <w:tcPr>
            <w:tcW w:type="dxa" w:w="3135"/>
            <w:shd w:fill="F8F9FA" w:val="clear"/>
          </w:tcPr>
          <w:p>
            <w:r/>
            <w:r>
              <w:rPr>
                <w:rFonts w:ascii="Calibri" w:hAnsi="Calibri"/>
                <w:color w:val="1F2937"/>
                <w:sz w:val="20"/>
              </w:rPr>
              <w:t>C</w:t>
            </w:r>
          </w:p>
        </w:tc>
        <w:tc>
          <w:tcPr>
            <w:tcW w:type="dxa" w:w="3135"/>
            <w:shd w:fill="F8F9FA" w:val="clear"/>
          </w:tcPr>
          <w:p>
            <w:r/>
            <w:r>
              <w:rPr>
                <w:rFonts w:ascii="Calibri" w:hAnsi="Calibri"/>
                <w:color w:val="1F2937"/>
                <w:sz w:val="20"/>
              </w:rPr>
              <w:t>Beoordeelt medische geschiktheid voor hoogtewerk</w:t>
            </w:r>
          </w:p>
        </w:tc>
      </w:tr>
    </w:tbl>
    <w:p>
      <w:r>
        <w:rPr>
          <w:i/>
          <w:sz w:val="18"/>
        </w:rPr>
        <w:t>R = Responsible, A = Accountable, C = Consulted, I = Informed</w:t>
      </w:r>
    </w:p>
    <w:p>
      <w:pPr>
        <w:pStyle w:val="Heading1"/>
      </w:pPr>
      <w:r>
        <w:t>5. Risico's bij Werken op Hoogte</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val="clear"/>
          </w:tcPr>
          <w:p>
            <w:pPr>
              <w:jc w:val="left"/>
            </w:pPr>
            <w:r/>
            <w:r>
              <w:rPr>
                <w:rFonts w:ascii="Calibri" w:hAnsi="Calibri"/>
                <w:b/>
                <w:color w:val="FFFFFF"/>
                <w:sz w:val="20"/>
              </w:rPr>
              <w:t>Risico</w:t>
            </w:r>
          </w:p>
        </w:tc>
        <w:tc>
          <w:tcPr>
            <w:tcW w:type="dxa" w:w="3135"/>
            <w:shd w:fill="003366" w:val="clear"/>
          </w:tcPr>
          <w:p>
            <w:pPr>
              <w:jc w:val="left"/>
            </w:pPr>
            <w:r/>
            <w:r>
              <w:rPr>
                <w:rFonts w:ascii="Calibri" w:hAnsi="Calibri"/>
                <w:b/>
                <w:color w:val="FFFFFF"/>
                <w:sz w:val="20"/>
              </w:rPr>
              <w:t>Omschrijving</w:t>
            </w:r>
          </w:p>
        </w:tc>
        <w:tc>
          <w:tcPr>
            <w:tcW w:type="dxa" w:w="3135"/>
            <w:shd w:fill="003366" w:val="clear"/>
          </w:tcPr>
          <w:p>
            <w:pPr>
              <w:jc w:val="left"/>
            </w:pPr>
            <w:r/>
            <w:r>
              <w:rPr>
                <w:rFonts w:ascii="Calibri" w:hAnsi="Calibri"/>
                <w:b/>
                <w:color w:val="FFFFFF"/>
                <w:sz w:val="20"/>
              </w:rPr>
              <w:t>Potentiële gevolgen</w:t>
            </w:r>
          </w:p>
        </w:tc>
      </w:tr>
      <w:tr>
        <w:tc>
          <w:tcPr>
            <w:tcW w:type="dxa" w:w="3135"/>
          </w:tcPr>
          <w:p>
            <w:r/>
            <w:r>
              <w:rPr>
                <w:rFonts w:ascii="Calibri" w:hAnsi="Calibri"/>
                <w:color w:val="1F2937"/>
                <w:sz w:val="20"/>
              </w:rPr>
              <w:t>Valgevaar</w:t>
            </w:r>
          </w:p>
        </w:tc>
        <w:tc>
          <w:tcPr>
            <w:tcW w:type="dxa" w:w="3135"/>
          </w:tcPr>
          <w:p>
            <w:r/>
            <w:r>
              <w:rPr>
                <w:rFonts w:ascii="Calibri" w:hAnsi="Calibri"/>
                <w:color w:val="1F2937"/>
                <w:sz w:val="20"/>
              </w:rPr>
              <w:t>Val van hoogte &gt;2 m door verlies van evenwicht, gladde ondergrond of falen beveiliging</w:t>
            </w:r>
          </w:p>
        </w:tc>
        <w:tc>
          <w:tcPr>
            <w:tcW w:type="dxa" w:w="3135"/>
          </w:tcPr>
          <w:p>
            <w:r/>
            <w:r>
              <w:rPr>
                <w:rFonts w:ascii="Calibri" w:hAnsi="Calibri"/>
                <w:color w:val="1F2937"/>
                <w:sz w:val="20"/>
              </w:rPr>
              <w:t>Ernstig letsel of dodelijk</w:t>
            </w:r>
          </w:p>
        </w:tc>
      </w:tr>
      <w:tr>
        <w:tc>
          <w:tcPr>
            <w:tcW w:type="dxa" w:w="3135"/>
            <w:shd w:fill="F8F9FA" w:val="clear"/>
          </w:tcPr>
          <w:p>
            <w:r/>
            <w:r>
              <w:rPr>
                <w:rFonts w:ascii="Calibri" w:hAnsi="Calibri"/>
                <w:color w:val="1F2937"/>
                <w:sz w:val="20"/>
              </w:rPr>
              <w:t>Vallende objecten</w:t>
            </w:r>
          </w:p>
        </w:tc>
        <w:tc>
          <w:tcPr>
            <w:tcW w:type="dxa" w:w="3135"/>
            <w:shd w:fill="F8F9FA" w:val="clear"/>
          </w:tcPr>
          <w:p>
            <w:r/>
            <w:r>
              <w:rPr>
                <w:rFonts w:ascii="Calibri" w:hAnsi="Calibri"/>
                <w:color w:val="1F2937"/>
                <w:sz w:val="20"/>
              </w:rPr>
              <w:t>Gereedschap, materialen of puin vallen op personen onder het werkgebied</w:t>
            </w:r>
          </w:p>
        </w:tc>
        <w:tc>
          <w:tcPr>
            <w:tcW w:type="dxa" w:w="3135"/>
            <w:shd w:fill="F8F9FA" w:val="clear"/>
          </w:tcPr>
          <w:p>
            <w:r/>
            <w:r>
              <w:rPr>
                <w:rFonts w:ascii="Calibri" w:hAnsi="Calibri"/>
                <w:color w:val="1F2937"/>
                <w:sz w:val="20"/>
              </w:rPr>
              <w:t>Hoofdletsel, breuken</w:t>
            </w:r>
          </w:p>
        </w:tc>
      </w:tr>
      <w:tr>
        <w:tc>
          <w:tcPr>
            <w:tcW w:type="dxa" w:w="3135"/>
          </w:tcPr>
          <w:p>
            <w:r/>
            <w:r>
              <w:rPr>
                <w:rFonts w:ascii="Calibri" w:hAnsi="Calibri"/>
                <w:color w:val="1F2937"/>
                <w:sz w:val="20"/>
              </w:rPr>
              <w:t>Weersomstandigheden</w:t>
            </w:r>
          </w:p>
        </w:tc>
        <w:tc>
          <w:tcPr>
            <w:tcW w:type="dxa" w:w="3135"/>
          </w:tcPr>
          <w:p>
            <w:r/>
            <w:r>
              <w:rPr>
                <w:rFonts w:ascii="Calibri" w:hAnsi="Calibri"/>
                <w:color w:val="1F2937"/>
                <w:sz w:val="20"/>
              </w:rPr>
              <w:t>Wind, regen, ijsvorming beïnvloeden stabiliteit en grip</w:t>
            </w:r>
          </w:p>
        </w:tc>
        <w:tc>
          <w:tcPr>
            <w:tcW w:type="dxa" w:w="3135"/>
          </w:tcPr>
          <w:p>
            <w:r/>
            <w:r>
              <w:rPr>
                <w:rFonts w:ascii="Calibri" w:hAnsi="Calibri"/>
                <w:color w:val="1F2937"/>
                <w:sz w:val="20"/>
              </w:rPr>
              <w:t>Val, verlies van controle</w:t>
            </w:r>
          </w:p>
        </w:tc>
      </w:tr>
      <w:tr>
        <w:tc>
          <w:tcPr>
            <w:tcW w:type="dxa" w:w="3135"/>
            <w:shd w:fill="F8F9FA" w:val="clear"/>
          </w:tcPr>
          <w:p>
            <w:r/>
            <w:r>
              <w:rPr>
                <w:rFonts w:ascii="Calibri" w:hAnsi="Calibri"/>
                <w:color w:val="1F2937"/>
                <w:sz w:val="20"/>
              </w:rPr>
              <w:t>Materiaalfalen</w:t>
            </w:r>
          </w:p>
        </w:tc>
        <w:tc>
          <w:tcPr>
            <w:tcW w:type="dxa" w:w="3135"/>
            <w:shd w:fill="F8F9FA" w:val="clear"/>
          </w:tcPr>
          <w:p>
            <w:r/>
            <w:r>
              <w:rPr>
                <w:rFonts w:ascii="Calibri" w:hAnsi="Calibri"/>
                <w:color w:val="1F2937"/>
                <w:sz w:val="20"/>
              </w:rPr>
              <w:t>Defect harnas, verouderde ankerlijn, onvoldoende steigerconstructie</w:t>
            </w:r>
          </w:p>
        </w:tc>
        <w:tc>
          <w:tcPr>
            <w:tcW w:type="dxa" w:w="3135"/>
            <w:shd w:fill="F8F9FA" w:val="clear"/>
          </w:tcPr>
          <w:p>
            <w:r/>
            <w:r>
              <w:rPr>
                <w:rFonts w:ascii="Calibri" w:hAnsi="Calibri"/>
                <w:color w:val="1F2937"/>
                <w:sz w:val="20"/>
              </w:rPr>
              <w:t>Ongecontroleerde val</w:t>
            </w:r>
          </w:p>
        </w:tc>
      </w:tr>
      <w:tr>
        <w:tc>
          <w:tcPr>
            <w:tcW w:type="dxa" w:w="3135"/>
          </w:tcPr>
          <w:p>
            <w:r/>
            <w:r>
              <w:rPr>
                <w:rFonts w:ascii="Calibri" w:hAnsi="Calibri"/>
                <w:color w:val="1F2937"/>
                <w:sz w:val="20"/>
              </w:rPr>
              <w:t>Onvoldoende training</w:t>
            </w:r>
          </w:p>
        </w:tc>
        <w:tc>
          <w:tcPr>
            <w:tcW w:type="dxa" w:w="3135"/>
          </w:tcPr>
          <w:p>
            <w:r/>
            <w:r>
              <w:rPr>
                <w:rFonts w:ascii="Calibri" w:hAnsi="Calibri"/>
                <w:color w:val="1F2937"/>
                <w:sz w:val="20"/>
              </w:rPr>
              <w:t>Medewerker kent procedure niet of kan uitrusting niet correct gebruiken</w:t>
            </w:r>
          </w:p>
        </w:tc>
        <w:tc>
          <w:tcPr>
            <w:tcW w:type="dxa" w:w="3135"/>
          </w:tcPr>
          <w:p>
            <w:r/>
            <w:r>
              <w:rPr>
                <w:rFonts w:ascii="Calibri" w:hAnsi="Calibri"/>
                <w:color w:val="1F2937"/>
                <w:sz w:val="20"/>
              </w:rPr>
              <w:t>Foutief gebruik, verhoogd risico</w:t>
            </w:r>
          </w:p>
        </w:tc>
      </w:tr>
    </w:tbl>
    <w:p>
      <w:pPr>
        <w:pStyle w:val="Heading1"/>
      </w:pPr>
      <w:r>
        <w:t>6. Hiërarchie van Maatregelen</w:t>
      </w:r>
    </w:p>
    <w:p>
      <w:r>
        <w:t>Maatregelen worden toegepast volgens de hiërarchie van beheersing, van hoogste naar laagste beschermingsniveau:</w:t>
      </w:r>
    </w:p>
    <w:p>
      <w:pPr>
        <w:pStyle w:val="Heading2"/>
      </w:pPr>
      <w:r>
        <w:t>6.1 Niveau 1 — Eliminatie</w:t>
      </w:r>
    </w:p>
    <w:p>
      <w:r>
        <w:t>Voer het werk zoveel mogelijk op de grond uit. Assembleer componenten op grondniveau alvorens deze op hoogte te plaatsen. Herzien het ontwerp of de werk methode om hoogtewerk te elimineren of minimaliseren.</w:t>
      </w:r>
    </w:p>
    <w:p>
      <w:pPr>
        <w:pStyle w:val="Heading2"/>
      </w:pPr>
      <w:r>
        <w:t>6.2 Niveau 2 — Collectieve Bescherming</w:t>
      </w:r>
    </w:p>
    <w:p>
      <w:r>
        <w:t>Indien hoogtewerk onvermijdelijk is, worden eerst collectieve maatregelen toegepast:</w:t>
      </w:r>
    </w:p>
    <w:p>
      <w:pPr>
        <w:pStyle w:val="ListBullet"/>
      </w:pPr>
      <w:r>
        <w:t>Steigers met leuningen (minimaal 1,0 m hoogte), tussenleuning en plank</w:t>
      </w:r>
    </w:p>
    <w:p>
      <w:pPr>
        <w:pStyle w:val="ListBullet"/>
      </w:pPr>
      <w:r>
        <w:t>Permanente leuningen bij trappen, platformranden en vloeropeningen</w:t>
      </w:r>
    </w:p>
    <w:p>
      <w:pPr>
        <w:pStyle w:val="ListBullet"/>
      </w:pPr>
      <w:r>
        <w:t>Vloeropeningen afdekken en verankeren met waarschuwingsbord</w:t>
      </w:r>
    </w:p>
    <w:p>
      <w:pPr>
        <w:pStyle w:val="ListBullet"/>
      </w:pPr>
      <w:r>
        <w:t>Randbeveiliging op daken en constructies</w:t>
      </w:r>
    </w:p>
    <w:p>
      <w:pPr>
        <w:pStyle w:val="ListBullet"/>
      </w:pPr>
      <w:r>
        <w:t>Vangnetten bij langdurige werkzaamheden op grote hoogte</w:t>
      </w:r>
    </w:p>
    <w:p>
      <w:pPr>
        <w:pStyle w:val="Heading2"/>
      </w:pPr>
      <w:r>
        <w:t>6.3 Niveau 3 — Persoonlijke Valbeveiliging</w:t>
      </w:r>
    </w:p>
    <w:p>
      <w:r>
        <w:t>Wanneer collectieve maatregelen niet mogelijk of onvoldoende zijn, wordt persoonlijke valbeveiliging (PV) toegepast [3]:</w:t>
      </w:r>
    </w:p>
    <w:p>
      <w:pPr>
        <w:pStyle w:val="ListBullet"/>
      </w:pPr>
      <w:r>
        <w:t>Volledig harnas (NEN-EN 361) met dubbele ankerlijn</w:t>
      </w:r>
    </w:p>
    <w:p>
      <w:pPr>
        <w:pStyle w:val="ListBullet"/>
      </w:pPr>
      <w:r>
        <w:t>Valstopsysteem (inklapbaar type NEN-EN 360) of geleidesysteem (NEN-EN 353)</w:t>
      </w:r>
    </w:p>
    <w:p>
      <w:pPr>
        <w:pStyle w:val="ListBullet"/>
      </w:pPr>
      <w:r>
        <w:t>Energy absorber (NEN-EN 355) ter beperking van de opvangkracht</w:t>
      </w:r>
    </w:p>
    <w:p>
      <w:pPr>
        <w:pStyle w:val="ListBullet"/>
      </w:pPr>
      <w:r>
        <w:t>Geschikt ankerpunt (minimaal 10 kN, NEN-EN 795)</w:t>
      </w:r>
    </w:p>
    <w:p>
      <w:r>
        <w:br w:type="page"/>
      </w:r>
    </w:p>
    <w:p>
      <w:pPr>
        <w:pStyle w:val="Heading1"/>
      </w:pPr>
      <w:r>
        <w:t>7. Procedure Werken op Hoogte</w:t>
      </w:r>
    </w:p>
    <w:p>
      <w:pPr>
        <w:pStyle w:val="Heading2"/>
      </w:pPr>
      <w:r>
        <w:t>Stap 1: Taakidentificatie en Classificatie</w:t>
      </w:r>
    </w:p>
    <w:p>
      <w:r>
        <w:t>Identificeer de hoogtewerkzaamheid en classificeer het type (ladder, steiger, dak, hijsen, tank). Bepaal de verwachte werkhoogte en duur. Registreer in het Control of Work systeem [4].</w:t>
      </w:r>
    </w:p>
    <w:p>
      <w:pPr>
        <w:pStyle w:val="Heading2"/>
      </w:pPr>
      <w:r>
        <w:t>Stap 2: TRA Uitvoeren</w:t>
      </w:r>
    </w:p>
    <w:p>
      <w:r>
        <w:t>Voer een Task Risk Assessment uit, specifiek gericht op hoogterisico's. Identificeer gevaren: valhoogte, ondergrond, weersomstandigheden, nabijheid elektrische installaties, en aanwezigheid van gevaarlijke stoffen. Documenteer de TRA en laat deze goedkeuren door de taakleider [4].</w:t>
      </w:r>
    </w:p>
    <w:p>
      <w:pPr>
        <w:pStyle w:val="Heading2"/>
      </w:pPr>
      <w:r>
        <w:t>Stap 3: Werkvergunning WV-HW Aanvragen</w:t>
      </w:r>
    </w:p>
    <w:p>
      <w:r>
        <w:t>Dien een werkvergunning Werken op Hoogte (WV-HW) in via het Permit-to-Work systeem. De vergunning bevat: locatie, tijdsbestek, risicomaatregelen, betrokkenen, en noodprocedures. Vergunning wordt beoordeeld en goedgekeurd door de bevoegd persoon (taakleider) [1].</w:t>
      </w:r>
    </w:p>
    <w:p>
      <w:pPr>
        <w:pStyle w:val="Heading2"/>
      </w:pPr>
      <w:r>
        <w:t>Stap 4: Geschiktheid Medewerker Controleren</w:t>
      </w:r>
    </w:p>
    <w:p>
      <w:r>
        <w:t>Controleer voor aanvang: (a) geldig VCA-certificaat passend bij type hoogtewerk, (b) medische geschiktheid (bedrijfsarts), (c) specifieke training (hijsen, steiger, hoogte), (d) geen bekende hoogtevrees die uitvoering belemmert.</w:t>
      </w:r>
    </w:p>
    <w:p>
      <w:pPr>
        <w:pStyle w:val="Heading2"/>
      </w:pPr>
      <w:r>
        <w:t>Stap 5: Uitrusting Keuren</w:t>
      </w:r>
    </w:p>
    <w:p>
      <w:r>
        <w:t>Keuring van alle persoonlijke beschermingsmiddelen: harnas (jaarlijkse formele keuring + visuele pre-use check), ankerlijnen, karabijnhaken, helmen, en gereedschap. Defecte uitrusting wordt onmiddellijk uit gebruik genomen en gelabeld [3].</w:t>
      </w:r>
    </w:p>
    <w:p>
      <w:pPr>
        <w:pStyle w:val="Heading2"/>
      </w:pPr>
      <w:r>
        <w:t>Stap 6: Weersomstandigheden Beoordelen</w:t>
      </w:r>
    </w:p>
    <w:p>
      <w:r>
        <w:t>Beoordeel wind, neerslag en zichtbaarheid. Bij windkracht &gt;7 Bft (circa 50 km/h) worden hoogtewerkzaamheden gestaakt. Bij ijsvorming, onweer of dichte mist geldt een automatische stop. Documenteer de weersbeoordeling op de werkvergunning.</w:t>
      </w:r>
    </w:p>
    <w:p>
      <w:pPr>
        <w:pStyle w:val="Heading2"/>
      </w:pPr>
      <w:r>
        <w:t>Stap 7: Valbeveiliging Installeren</w:t>
      </w:r>
    </w:p>
    <w:p>
      <w:r>
        <w:t>Installeer ankerpunten en lifelines conform NEN-EN 795. Controleer de vrije valruimte (minimaal vereiste afstand onder het werkgebied). Verbind het harnas via dubbele ankerlijn aan een goedgekeurd ankerpunt. Altijd 100% bevestiging — minimaal één verbindingspunt actief [3].</w:t>
      </w:r>
    </w:p>
    <w:p>
      <w:pPr>
        <w:pStyle w:val="Heading2"/>
      </w:pPr>
      <w:r>
        <w:t>Stap 8: Toolbox Meeting</w:t>
      </w:r>
    </w:p>
    <w:p>
      <w:r>
        <w:t>Houd een korte toolbox meeting voor aanvang. Bespreek: TRA-resultaten, specifieke risico's op de locatie, communicatiemiddelen, afzetting van het gebied onder het werk, en de noodprocedure bij een valincident.</w:t>
      </w:r>
    </w:p>
    <w:p>
      <w:pPr>
        <w:pStyle w:val="Heading2"/>
      </w:pPr>
      <w:r>
        <w:t>Stap 9: Uitvoering met Monitoring</w:t>
      </w:r>
    </w:p>
    <w:p>
      <w:r>
        <w:t>De taakleider of een aangewezen observator bewaakt de uitvoering. De medewerker houdt 100% ankerbevestiging. Afwijkingen van de TRA of werkvergunning leiden tot onmiddellijke stillegging. Gereedschap wordt via gereedschapsriem of -lijn bevestigd.</w:t>
      </w:r>
    </w:p>
    <w:p>
      <w:pPr>
        <w:pStyle w:val="Heading2"/>
      </w:pPr>
      <w:r>
        <w:t>Stap 10: Afsluiting en Evaluatie</w:t>
      </w:r>
    </w:p>
    <w:p>
      <w:r>
        <w:t>Na afronding: (a) uitrusting afkoppelen en opbergen, (b) werkgebied opruimen, (c) werkvergunning formeel aftekenen, (d) eventuele afwijkingen of incidenten rapporteren, (e) kort evaluatiegesprek met betrokkenen voor lessons learned.</w:t>
      </w:r>
    </w:p>
    <w:p>
      <w:r>
        <w:br w:type="page"/>
      </w:r>
    </w:p>
    <w:p>
      <w:pPr>
        <w:pStyle w:val="Heading1"/>
      </w:pPr>
      <w:r>
        <w:t>8. Eisen per Type Hoogtewerk</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val="clear"/>
          </w:tcPr>
          <w:p>
            <w:pPr>
              <w:jc w:val="left"/>
            </w:pPr>
            <w:r/>
            <w:r>
              <w:rPr>
                <w:rFonts w:ascii="Calibri" w:hAnsi="Calibri"/>
                <w:b/>
                <w:color w:val="FFFFFF"/>
                <w:sz w:val="20"/>
              </w:rPr>
              <w:t>Type hoogtewerk</w:t>
            </w:r>
          </w:p>
        </w:tc>
        <w:tc>
          <w:tcPr>
            <w:tcW w:type="dxa" w:w="2351"/>
            <w:shd w:fill="003366" w:val="clear"/>
          </w:tcPr>
          <w:p>
            <w:pPr>
              <w:jc w:val="left"/>
            </w:pPr>
            <w:r/>
            <w:r>
              <w:rPr>
                <w:rFonts w:ascii="Calibri" w:hAnsi="Calibri"/>
                <w:b/>
                <w:color w:val="FFFFFF"/>
                <w:sz w:val="20"/>
              </w:rPr>
              <w:t>Max hoogte</w:t>
            </w:r>
          </w:p>
        </w:tc>
        <w:tc>
          <w:tcPr>
            <w:tcW w:type="dxa" w:w="2351"/>
            <w:shd w:fill="003366" w:val="clear"/>
          </w:tcPr>
          <w:p>
            <w:pPr>
              <w:jc w:val="left"/>
            </w:pPr>
            <w:r/>
            <w:r>
              <w:rPr>
                <w:rFonts w:ascii="Calibri" w:hAnsi="Calibri"/>
                <w:b/>
                <w:color w:val="FFFFFF"/>
                <w:sz w:val="20"/>
              </w:rPr>
              <w:t>Vereiste maatregelen</w:t>
            </w:r>
          </w:p>
        </w:tc>
        <w:tc>
          <w:tcPr>
            <w:tcW w:type="dxa" w:w="2351"/>
            <w:shd w:fill="003366" w:val="clear"/>
          </w:tcPr>
          <w:p>
            <w:pPr>
              <w:jc w:val="left"/>
            </w:pPr>
            <w:r/>
            <w:r>
              <w:rPr>
                <w:rFonts w:ascii="Calibri" w:hAnsi="Calibri"/>
                <w:b/>
                <w:color w:val="FFFFFF"/>
                <w:sz w:val="20"/>
              </w:rPr>
              <w:t>Training</w:t>
            </w:r>
          </w:p>
        </w:tc>
      </w:tr>
      <w:tr>
        <w:tc>
          <w:tcPr>
            <w:tcW w:type="dxa" w:w="2351"/>
          </w:tcPr>
          <w:p>
            <w:r/>
            <w:r>
              <w:rPr>
                <w:rFonts w:ascii="Calibri" w:hAnsi="Calibri"/>
                <w:color w:val="1F2937"/>
                <w:sz w:val="20"/>
              </w:rPr>
              <w:t>Ladderwerk</w:t>
            </w:r>
          </w:p>
        </w:tc>
        <w:tc>
          <w:tcPr>
            <w:tcW w:type="dxa" w:w="2351"/>
          </w:tcPr>
          <w:p>
            <w:r/>
            <w:r>
              <w:rPr>
                <w:rFonts w:ascii="Calibri" w:hAnsi="Calibri"/>
                <w:color w:val="1F2937"/>
                <w:sz w:val="20"/>
              </w:rPr>
              <w:t>&lt;8 meter</w:t>
            </w:r>
          </w:p>
        </w:tc>
        <w:tc>
          <w:tcPr>
            <w:tcW w:type="dxa" w:w="2351"/>
          </w:tcPr>
          <w:p>
            <w:r/>
            <w:r>
              <w:rPr>
                <w:rFonts w:ascii="Calibri" w:hAnsi="Calibri"/>
                <w:color w:val="1F2937"/>
                <w:sz w:val="20"/>
              </w:rPr>
              <w:t>3-punts contact, ladder vastzetten/latenen, stopzetladder</w:t>
            </w:r>
          </w:p>
        </w:tc>
        <w:tc>
          <w:tcPr>
            <w:tcW w:type="dxa" w:w="2351"/>
          </w:tcPr>
          <w:p>
            <w:r/>
            <w:r>
              <w:rPr>
                <w:rFonts w:ascii="Calibri" w:hAnsi="Calibri"/>
                <w:color w:val="1F2937"/>
                <w:sz w:val="20"/>
              </w:rPr>
              <w:t>VCA Basis</w:t>
            </w:r>
          </w:p>
        </w:tc>
      </w:tr>
      <w:tr>
        <w:tc>
          <w:tcPr>
            <w:tcW w:type="dxa" w:w="2351"/>
            <w:shd w:fill="F8F9FA" w:val="clear"/>
          </w:tcPr>
          <w:p>
            <w:r/>
            <w:r>
              <w:rPr>
                <w:rFonts w:ascii="Calibri" w:hAnsi="Calibri"/>
                <w:color w:val="1F2937"/>
                <w:sz w:val="20"/>
              </w:rPr>
              <w:t>Steigerwerk</w:t>
            </w:r>
          </w:p>
        </w:tc>
        <w:tc>
          <w:tcPr>
            <w:tcW w:type="dxa" w:w="2351"/>
            <w:shd w:fill="F8F9FA" w:val="clear"/>
          </w:tcPr>
          <w:p>
            <w:r/>
            <w:r>
              <w:rPr>
                <w:rFonts w:ascii="Calibri" w:hAnsi="Calibri"/>
                <w:color w:val="1F2937"/>
                <w:sz w:val="20"/>
              </w:rPr>
              <w:t>Elke hoogte</w:t>
            </w:r>
          </w:p>
        </w:tc>
        <w:tc>
          <w:tcPr>
            <w:tcW w:type="dxa" w:w="2351"/>
            <w:shd w:fill="F8F9FA" w:val="clear"/>
          </w:tcPr>
          <w:p>
            <w:r/>
            <w:r>
              <w:rPr>
                <w:rFonts w:ascii="Calibri" w:hAnsi="Calibri"/>
                <w:color w:val="1F2937"/>
                <w:sz w:val="20"/>
              </w:rPr>
              <w:t>Steigerkeuring (opbouwen + voor gebruik), leuningen, volledige vloer</w:t>
            </w:r>
          </w:p>
        </w:tc>
        <w:tc>
          <w:tcPr>
            <w:tcW w:type="dxa" w:w="2351"/>
            <w:shd w:fill="F8F9FA" w:val="clear"/>
          </w:tcPr>
          <w:p>
            <w:r/>
            <w:r>
              <w:rPr>
                <w:rFonts w:ascii="Calibri" w:hAnsi="Calibri"/>
                <w:color w:val="1F2937"/>
                <w:sz w:val="20"/>
              </w:rPr>
              <w:t>VCA + steigertraining</w:t>
            </w:r>
          </w:p>
        </w:tc>
      </w:tr>
      <w:tr>
        <w:tc>
          <w:tcPr>
            <w:tcW w:type="dxa" w:w="2351"/>
          </w:tcPr>
          <w:p>
            <w:r/>
            <w:r>
              <w:rPr>
                <w:rFonts w:ascii="Calibri" w:hAnsi="Calibri"/>
                <w:color w:val="1F2937"/>
                <w:sz w:val="20"/>
              </w:rPr>
              <w:t>Dakwerk</w:t>
            </w:r>
          </w:p>
        </w:tc>
        <w:tc>
          <w:tcPr>
            <w:tcW w:type="dxa" w:w="2351"/>
          </w:tcPr>
          <w:p>
            <w:r/>
            <w:r>
              <w:rPr>
                <w:rFonts w:ascii="Calibri" w:hAnsi="Calibri"/>
                <w:color w:val="1F2937"/>
                <w:sz w:val="20"/>
              </w:rPr>
              <w:t>&gt;4 meter</w:t>
            </w:r>
          </w:p>
        </w:tc>
        <w:tc>
          <w:tcPr>
            <w:tcW w:type="dxa" w:w="2351"/>
          </w:tcPr>
          <w:p>
            <w:r/>
            <w:r>
              <w:rPr>
                <w:rFonts w:ascii="Calibri" w:hAnsi="Calibri"/>
                <w:color w:val="1F2937"/>
                <w:sz w:val="20"/>
              </w:rPr>
              <w:t>Valbeveiliging + ankerpunt, randbeveiliging of lifeline</w:t>
            </w:r>
          </w:p>
        </w:tc>
        <w:tc>
          <w:tcPr>
            <w:tcW w:type="dxa" w:w="2351"/>
          </w:tcPr>
          <w:p>
            <w:r/>
            <w:r>
              <w:rPr>
                <w:rFonts w:ascii="Calibri" w:hAnsi="Calibri"/>
                <w:color w:val="1F2937"/>
                <w:sz w:val="20"/>
              </w:rPr>
              <w:t>VCA + hoogtetraining</w:t>
            </w:r>
          </w:p>
        </w:tc>
      </w:tr>
      <w:tr>
        <w:tc>
          <w:tcPr>
            <w:tcW w:type="dxa" w:w="2351"/>
            <w:shd w:fill="F8F9FA" w:val="clear"/>
          </w:tcPr>
          <w:p>
            <w:r/>
            <w:r>
              <w:rPr>
                <w:rFonts w:ascii="Calibri" w:hAnsi="Calibri"/>
                <w:color w:val="1F2937"/>
                <w:sz w:val="20"/>
              </w:rPr>
              <w:t>Hijsen / Kraan</w:t>
            </w:r>
          </w:p>
        </w:tc>
        <w:tc>
          <w:tcPr>
            <w:tcW w:type="dxa" w:w="2351"/>
            <w:shd w:fill="F8F9FA" w:val="clear"/>
          </w:tcPr>
          <w:p>
            <w:r/>
            <w:r>
              <w:rPr>
                <w:rFonts w:ascii="Calibri" w:hAnsi="Calibri"/>
                <w:color w:val="1F2937"/>
                <w:sz w:val="20"/>
              </w:rPr>
              <w:t>Elke hoogte</w:t>
            </w:r>
          </w:p>
        </w:tc>
        <w:tc>
          <w:tcPr>
            <w:tcW w:type="dxa" w:w="2351"/>
            <w:shd w:fill="F8F9FA" w:val="clear"/>
          </w:tcPr>
          <w:p>
            <w:r/>
            <w:r>
              <w:rPr>
                <w:rFonts w:ascii="Calibri" w:hAnsi="Calibri"/>
                <w:color w:val="1F2937"/>
                <w:sz w:val="20"/>
              </w:rPr>
              <w:t>Hijsplan + geldig kraancertificaat + signalist</w:t>
            </w:r>
          </w:p>
        </w:tc>
        <w:tc>
          <w:tcPr>
            <w:tcW w:type="dxa" w:w="2351"/>
            <w:shd w:fill="F8F9FA" w:val="clear"/>
          </w:tcPr>
          <w:p>
            <w:r/>
            <w:r>
              <w:rPr>
                <w:rFonts w:ascii="Calibri" w:hAnsi="Calibri"/>
                <w:color w:val="1F2937"/>
                <w:sz w:val="20"/>
              </w:rPr>
              <w:t>Hijscertificaat (VCA-VOL)</w:t>
            </w:r>
          </w:p>
        </w:tc>
      </w:tr>
      <w:tr>
        <w:tc>
          <w:tcPr>
            <w:tcW w:type="dxa" w:w="2351"/>
          </w:tcPr>
          <w:p>
            <w:r/>
            <w:r>
              <w:rPr>
                <w:rFonts w:ascii="Calibri" w:hAnsi="Calibri"/>
                <w:color w:val="1F2937"/>
                <w:sz w:val="20"/>
              </w:rPr>
              <w:t>Boomstramwerk / Opslagtanks</w:t>
            </w:r>
          </w:p>
        </w:tc>
        <w:tc>
          <w:tcPr>
            <w:tcW w:type="dxa" w:w="2351"/>
          </w:tcPr>
          <w:p>
            <w:r/>
            <w:r>
              <w:rPr>
                <w:rFonts w:ascii="Calibri" w:hAnsi="Calibri"/>
                <w:color w:val="1F2937"/>
                <w:sz w:val="20"/>
              </w:rPr>
              <w:t>&gt;4 meter</w:t>
            </w:r>
          </w:p>
        </w:tc>
        <w:tc>
          <w:tcPr>
            <w:tcW w:type="dxa" w:w="2351"/>
          </w:tcPr>
          <w:p>
            <w:r/>
            <w:r>
              <w:rPr>
                <w:rFonts w:ascii="Calibri" w:hAnsi="Calibri"/>
                <w:color w:val="1F2937"/>
                <w:sz w:val="20"/>
              </w:rPr>
              <w:t>Valbeveiliging + gasmeting (indien in besloten ruimte nabij)</w:t>
            </w:r>
          </w:p>
        </w:tc>
        <w:tc>
          <w:tcPr>
            <w:tcW w:type="dxa" w:w="2351"/>
          </w:tcPr>
          <w:p>
            <w:r/>
            <w:r>
              <w:rPr>
                <w:rFonts w:ascii="Calibri" w:hAnsi="Calibri"/>
                <w:color w:val="1F2937"/>
                <w:sz w:val="20"/>
              </w:rPr>
              <w:t>VCA + specifieke training</w:t>
            </w:r>
          </w:p>
        </w:tc>
      </w:tr>
    </w:tbl>
    <w:p>
      <w:pPr>
        <w:pStyle w:val="Heading1"/>
      </w:pPr>
      <w:r>
        <w:t>9. Valbeveiligingssystemen</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val="clear"/>
          </w:tcPr>
          <w:p>
            <w:pPr>
              <w:jc w:val="left"/>
            </w:pPr>
            <w:r/>
            <w:r>
              <w:rPr>
                <w:rFonts w:ascii="Calibri" w:hAnsi="Calibri"/>
                <w:b/>
                <w:color w:val="FFFFFF"/>
                <w:sz w:val="20"/>
              </w:rPr>
              <w:t>Systeemtype</w:t>
            </w:r>
          </w:p>
        </w:tc>
        <w:tc>
          <w:tcPr>
            <w:tcW w:type="dxa" w:w="2351"/>
            <w:shd w:fill="003366" w:val="clear"/>
          </w:tcPr>
          <w:p>
            <w:pPr>
              <w:jc w:val="left"/>
            </w:pPr>
            <w:r/>
            <w:r>
              <w:rPr>
                <w:rFonts w:ascii="Calibri" w:hAnsi="Calibri"/>
                <w:b/>
                <w:color w:val="FFFFFF"/>
                <w:sz w:val="20"/>
              </w:rPr>
              <w:t>Beschrijving</w:t>
            </w:r>
          </w:p>
        </w:tc>
        <w:tc>
          <w:tcPr>
            <w:tcW w:type="dxa" w:w="2351"/>
            <w:shd w:fill="003366" w:val="clear"/>
          </w:tcPr>
          <w:p>
            <w:pPr>
              <w:jc w:val="left"/>
            </w:pPr>
            <w:r/>
            <w:r>
              <w:rPr>
                <w:rFonts w:ascii="Calibri" w:hAnsi="Calibri"/>
                <w:b/>
                <w:color w:val="FFFFFF"/>
                <w:sz w:val="20"/>
              </w:rPr>
              <w:t>Toepassing</w:t>
            </w:r>
          </w:p>
        </w:tc>
        <w:tc>
          <w:tcPr>
            <w:tcW w:type="dxa" w:w="2351"/>
            <w:shd w:fill="003366" w:val="clear"/>
          </w:tcPr>
          <w:p>
            <w:pPr>
              <w:jc w:val="left"/>
            </w:pPr>
            <w:r/>
            <w:r>
              <w:rPr>
                <w:rFonts w:ascii="Calibri" w:hAnsi="Calibri"/>
                <w:b/>
                <w:color w:val="FFFFFF"/>
                <w:sz w:val="20"/>
              </w:rPr>
              <w:t>Norm</w:t>
            </w:r>
          </w:p>
        </w:tc>
      </w:tr>
      <w:tr>
        <w:tc>
          <w:tcPr>
            <w:tcW w:type="dxa" w:w="2351"/>
          </w:tcPr>
          <w:p>
            <w:r/>
            <w:r>
              <w:rPr>
                <w:rFonts w:ascii="Calibri" w:hAnsi="Calibri"/>
                <w:color w:val="1F2937"/>
                <w:sz w:val="20"/>
              </w:rPr>
              <w:t>Volledig harnas</w:t>
            </w:r>
          </w:p>
        </w:tc>
        <w:tc>
          <w:tcPr>
            <w:tcW w:type="dxa" w:w="2351"/>
          </w:tcPr>
          <w:p>
            <w:r/>
            <w:r>
              <w:rPr>
                <w:rFonts w:ascii="Calibri" w:hAnsi="Calibri"/>
                <w:color w:val="1F2937"/>
                <w:sz w:val="20"/>
              </w:rPr>
              <w:t>Volledige lichaamsomsluiting met beengordels, schouderbanden en rugplateau</w:t>
            </w:r>
          </w:p>
        </w:tc>
        <w:tc>
          <w:tcPr>
            <w:tcW w:type="dxa" w:w="2351"/>
          </w:tcPr>
          <w:p>
            <w:r/>
            <w:r>
              <w:rPr>
                <w:rFonts w:ascii="Calibri" w:hAnsi="Calibri"/>
                <w:color w:val="1F2937"/>
                <w:sz w:val="20"/>
              </w:rPr>
              <w:t>Alle valstopsituaties</w:t>
            </w:r>
          </w:p>
        </w:tc>
        <w:tc>
          <w:tcPr>
            <w:tcW w:type="dxa" w:w="2351"/>
          </w:tcPr>
          <w:p>
            <w:r/>
            <w:r>
              <w:rPr>
                <w:rFonts w:ascii="Calibri" w:hAnsi="Calibri"/>
                <w:color w:val="1F2937"/>
                <w:sz w:val="20"/>
              </w:rPr>
              <w:t>NEN-EN 361 [3]</w:t>
            </w:r>
          </w:p>
        </w:tc>
      </w:tr>
      <w:tr>
        <w:tc>
          <w:tcPr>
            <w:tcW w:type="dxa" w:w="2351"/>
            <w:shd w:fill="F8F9FA" w:val="clear"/>
          </w:tcPr>
          <w:p>
            <w:r/>
            <w:r>
              <w:rPr>
                <w:rFonts w:ascii="Calibri" w:hAnsi="Calibri"/>
                <w:color w:val="1F2937"/>
                <w:sz w:val="20"/>
              </w:rPr>
              <w:t>Valstopsysteem (inklapbaar)</w:t>
            </w:r>
          </w:p>
        </w:tc>
        <w:tc>
          <w:tcPr>
            <w:tcW w:type="dxa" w:w="2351"/>
            <w:shd w:fill="F8F9FA" w:val="clear"/>
          </w:tcPr>
          <w:p>
            <w:r/>
            <w:r>
              <w:rPr>
                <w:rFonts w:ascii="Calibri" w:hAnsi="Calibri"/>
                <w:color w:val="1F2937"/>
                <w:sz w:val="20"/>
              </w:rPr>
              <w:t>Automatisch blokkerende lijm op ankerlijn</w:t>
            </w:r>
          </w:p>
        </w:tc>
        <w:tc>
          <w:tcPr>
            <w:tcW w:type="dxa" w:w="2351"/>
            <w:shd w:fill="F8F9FA" w:val="clear"/>
          </w:tcPr>
          <w:p>
            <w:r/>
            <w:r>
              <w:rPr>
                <w:rFonts w:ascii="Calibri" w:hAnsi="Calibri"/>
                <w:color w:val="1F2937"/>
                <w:sz w:val="20"/>
              </w:rPr>
              <w:t>Verticaal werk, torens, ladders</w:t>
            </w:r>
          </w:p>
        </w:tc>
        <w:tc>
          <w:tcPr>
            <w:tcW w:type="dxa" w:w="2351"/>
            <w:shd w:fill="F8F9FA" w:val="clear"/>
          </w:tcPr>
          <w:p>
            <w:r/>
            <w:r>
              <w:rPr>
                <w:rFonts w:ascii="Calibri" w:hAnsi="Calibri"/>
                <w:color w:val="1F2937"/>
                <w:sz w:val="20"/>
              </w:rPr>
              <w:t>NEN-EN 360 [3]</w:t>
            </w:r>
          </w:p>
        </w:tc>
      </w:tr>
      <w:tr>
        <w:tc>
          <w:tcPr>
            <w:tcW w:type="dxa" w:w="2351"/>
          </w:tcPr>
          <w:p>
            <w:r/>
            <w:r>
              <w:rPr>
                <w:rFonts w:ascii="Calibri" w:hAnsi="Calibri"/>
                <w:color w:val="1F2937"/>
                <w:sz w:val="20"/>
              </w:rPr>
              <w:t>Geleidesysteem</w:t>
            </w:r>
          </w:p>
        </w:tc>
        <w:tc>
          <w:tcPr>
            <w:tcW w:type="dxa" w:w="2351"/>
          </w:tcPr>
          <w:p>
            <w:r/>
            <w:r>
              <w:rPr>
                <w:rFonts w:ascii="Calibri" w:hAnsi="Calibri"/>
                <w:color w:val="1F2937"/>
                <w:sz w:val="20"/>
              </w:rPr>
              <w:t>Glijder op starre of flexibele geleidingsrail</w:t>
            </w:r>
          </w:p>
        </w:tc>
        <w:tc>
          <w:tcPr>
            <w:tcW w:type="dxa" w:w="2351"/>
          </w:tcPr>
          <w:p>
            <w:r/>
            <w:r>
              <w:rPr>
                <w:rFonts w:ascii="Calibri" w:hAnsi="Calibri"/>
                <w:color w:val="1F2937"/>
                <w:sz w:val="20"/>
              </w:rPr>
              <w:t>Verticale toegangswegen, ladders</w:t>
            </w:r>
          </w:p>
        </w:tc>
        <w:tc>
          <w:tcPr>
            <w:tcW w:type="dxa" w:w="2351"/>
          </w:tcPr>
          <w:p>
            <w:r/>
            <w:r>
              <w:rPr>
                <w:rFonts w:ascii="Calibri" w:hAnsi="Calibri"/>
                <w:color w:val="1F2937"/>
                <w:sz w:val="20"/>
              </w:rPr>
              <w:t>NEN-EN 353 [3]</w:t>
            </w:r>
          </w:p>
        </w:tc>
      </w:tr>
      <w:tr>
        <w:tc>
          <w:tcPr>
            <w:tcW w:type="dxa" w:w="2351"/>
            <w:shd w:fill="F8F9FA" w:val="clear"/>
          </w:tcPr>
          <w:p>
            <w:r/>
            <w:r>
              <w:rPr>
                <w:rFonts w:ascii="Calibri" w:hAnsi="Calibri"/>
                <w:color w:val="1F2937"/>
                <w:sz w:val="20"/>
              </w:rPr>
              <w:t>Ankerlijn + energy absorber</w:t>
            </w:r>
          </w:p>
        </w:tc>
        <w:tc>
          <w:tcPr>
            <w:tcW w:type="dxa" w:w="2351"/>
            <w:shd w:fill="F8F9FA" w:val="clear"/>
          </w:tcPr>
          <w:p>
            <w:r/>
            <w:r>
              <w:rPr>
                <w:rFonts w:ascii="Calibri" w:hAnsi="Calibri"/>
                <w:color w:val="1F2937"/>
                <w:sz w:val="20"/>
              </w:rPr>
              <w:t>Touw of band met deformatie-element</w:t>
            </w:r>
          </w:p>
        </w:tc>
        <w:tc>
          <w:tcPr>
            <w:tcW w:type="dxa" w:w="2351"/>
            <w:shd w:fill="F8F9FA" w:val="clear"/>
          </w:tcPr>
          <w:p>
            <w:r/>
            <w:r>
              <w:rPr>
                <w:rFonts w:ascii="Calibri" w:hAnsi="Calibri"/>
                <w:color w:val="1F2937"/>
                <w:sz w:val="20"/>
              </w:rPr>
              <w:t>Horizontale verplaatsing, tijdelijk anker</w:t>
            </w:r>
          </w:p>
        </w:tc>
        <w:tc>
          <w:tcPr>
            <w:tcW w:type="dxa" w:w="2351"/>
            <w:shd w:fill="F8F9FA" w:val="clear"/>
          </w:tcPr>
          <w:p>
            <w:r/>
            <w:r>
              <w:rPr>
                <w:rFonts w:ascii="Calibri" w:hAnsi="Calibri"/>
                <w:color w:val="1F2937"/>
                <w:sz w:val="20"/>
              </w:rPr>
              <w:t>NEN-EN 354/355 [3]</w:t>
            </w:r>
          </w:p>
        </w:tc>
      </w:tr>
      <w:tr>
        <w:tc>
          <w:tcPr>
            <w:tcW w:type="dxa" w:w="2351"/>
          </w:tcPr>
          <w:p>
            <w:r/>
            <w:r>
              <w:rPr>
                <w:rFonts w:ascii="Calibri" w:hAnsi="Calibri"/>
                <w:color w:val="1F2937"/>
                <w:sz w:val="20"/>
              </w:rPr>
              <w:t>Werkpositiegordel</w:t>
            </w:r>
          </w:p>
        </w:tc>
        <w:tc>
          <w:tcPr>
            <w:tcW w:type="dxa" w:w="2351"/>
          </w:tcPr>
          <w:p>
            <w:r/>
            <w:r>
              <w:rPr>
                <w:rFonts w:ascii="Calibri" w:hAnsi="Calibri"/>
                <w:color w:val="1F2937"/>
                <w:sz w:val="20"/>
              </w:rPr>
              <w:t>Gordel met positiekoorden voor handenvrij werken</w:t>
            </w:r>
          </w:p>
        </w:tc>
        <w:tc>
          <w:tcPr>
            <w:tcW w:type="dxa" w:w="2351"/>
          </w:tcPr>
          <w:p>
            <w:r/>
            <w:r>
              <w:rPr>
                <w:rFonts w:ascii="Calibri" w:hAnsi="Calibri"/>
                <w:color w:val="1F2937"/>
                <w:sz w:val="20"/>
              </w:rPr>
              <w:t>Constructiewerk, steigers (aanvullend)</w:t>
            </w:r>
          </w:p>
        </w:tc>
        <w:tc>
          <w:tcPr>
            <w:tcW w:type="dxa" w:w="2351"/>
          </w:tcPr>
          <w:p>
            <w:r/>
            <w:r>
              <w:rPr>
                <w:rFonts w:ascii="Calibri" w:hAnsi="Calibri"/>
                <w:color w:val="1F2937"/>
                <w:sz w:val="20"/>
              </w:rPr>
              <w:t>NEN-EN 358 [3]</w:t>
            </w:r>
          </w:p>
        </w:tc>
      </w:tr>
      <w:tr>
        <w:tc>
          <w:tcPr>
            <w:tcW w:type="dxa" w:w="2351"/>
            <w:shd w:fill="F8F9FA" w:val="clear"/>
          </w:tcPr>
          <w:p>
            <w:r/>
            <w:r>
              <w:rPr>
                <w:rFonts w:ascii="Calibri" w:hAnsi="Calibri"/>
                <w:color w:val="1F2937"/>
                <w:sz w:val="20"/>
              </w:rPr>
              <w:t>Ankerpunten</w:t>
            </w:r>
          </w:p>
        </w:tc>
        <w:tc>
          <w:tcPr>
            <w:tcW w:type="dxa" w:w="2351"/>
            <w:shd w:fill="F8F9FA" w:val="clear"/>
          </w:tcPr>
          <w:p>
            <w:r/>
            <w:r>
              <w:rPr>
                <w:rFonts w:ascii="Calibri" w:hAnsi="Calibri"/>
                <w:color w:val="1F2937"/>
                <w:sz w:val="20"/>
              </w:rPr>
              <w:t>Structureel bevestigingspunt (classe A-E)</w:t>
            </w:r>
          </w:p>
        </w:tc>
        <w:tc>
          <w:tcPr>
            <w:tcW w:type="dxa" w:w="2351"/>
            <w:shd w:fill="F8F9FA" w:val="clear"/>
          </w:tcPr>
          <w:p>
            <w:r/>
            <w:r>
              <w:rPr>
                <w:rFonts w:ascii="Calibri" w:hAnsi="Calibri"/>
                <w:color w:val="1F2937"/>
                <w:sz w:val="20"/>
              </w:rPr>
              <w:t>Alle systemen vereisen geschikt ankerpunt</w:t>
            </w:r>
          </w:p>
        </w:tc>
        <w:tc>
          <w:tcPr>
            <w:tcW w:type="dxa" w:w="2351"/>
            <w:shd w:fill="F8F9FA" w:val="clear"/>
          </w:tcPr>
          <w:p>
            <w:r/>
            <w:r>
              <w:rPr>
                <w:rFonts w:ascii="Calibri" w:hAnsi="Calibri"/>
                <w:color w:val="1F2937"/>
                <w:sz w:val="20"/>
              </w:rPr>
              <w:t>NEN-EN 795 [3]</w:t>
            </w:r>
          </w:p>
        </w:tc>
      </w:tr>
    </w:tbl>
    <w:p>
      <w:pPr>
        <w:pStyle w:val="Heading1"/>
      </w:pPr>
      <w:r>
        <w:t>10. Gereedschapsbeheer — Vallende Objecten</w:t>
      </w:r>
    </w:p>
    <w:p>
      <w:r>
        <w:t>Het voorkomen van vallende objecten is een essentieel onderdeel van hoogtewerk. De volgende maatregelen zijn verplicht:</w:t>
      </w:r>
    </w:p>
    <w:p>
      <w:pPr>
        <w:pStyle w:val="ListBullet"/>
      </w:pPr>
      <w:r>
        <w:t>Gereedschapsriem of gereedschapslijn: al het handgereedschap wordt via een koord aan de medewerker bevestigd.</w:t>
      </w:r>
    </w:p>
    <w:p>
      <w:pPr>
        <w:pStyle w:val="ListBullet"/>
      </w:pPr>
      <w:r>
        <w:t>Hekwerk en afzetting: het gebied direct onder het hoogtewerk wordt afgezet met hekwerk en waarschuwingsborden.</w:t>
      </w:r>
    </w:p>
    <w:p>
      <w:pPr>
        <w:pStyle w:val="ListBullet"/>
      </w:pPr>
      <w:r>
        <w:t>Vangnetten: bij langdurig werk op grote hoogte worden vangnetten geplaatst onder het werkgebied.</w:t>
      </w:r>
    </w:p>
    <w:p>
      <w:pPr>
        <w:pStyle w:val="ListBullet"/>
      </w:pPr>
      <w:r>
        <w:t>Gereedschapskisten op hoogte: deze zijn bevestigd aan de constructie en voorzien van gesloten deksel.</w:t>
      </w:r>
    </w:p>
    <w:p>
      <w:pPr>
        <w:pStyle w:val="ListBullet"/>
      </w:pPr>
      <w:r>
        <w:t>Voorwerpen niet over randen werpen — alles wordt via hijslijn of touw naar beneden gebracht.</w:t>
      </w:r>
    </w:p>
    <w:p>
      <w:pPr>
        <w:pStyle w:val="Heading1"/>
      </w:pPr>
      <w:r>
        <w:t>11. Noodprocedure bij Valincident</w:t>
      </w:r>
    </w:p>
    <w:p>
      <w:r>
        <w:t>Bij een valincident wordt de volgende noodprocedure geactiveerd:</w:t>
      </w:r>
    </w:p>
    <w:p>
      <w:pPr>
        <w:pStyle w:val="Heading2"/>
      </w:pPr>
      <w:r>
        <w:t>11.1 Directe Acties</w:t>
      </w:r>
    </w:p>
    <w:p>
      <w:pPr>
        <w:pStyle w:val="ListBullet"/>
      </w:pPr>
      <w:r>
        <w:t>Alarmeer de omgeving (roep om hulp, activeer noodknop indien aanwezig).</w:t>
      </w:r>
    </w:p>
    <w:p>
      <w:pPr>
        <w:pStyle w:val="ListBullet"/>
      </w:pPr>
      <w:r>
        <w:t>Bel 112 indien ernstig letsel vermoed wordt.</w:t>
      </w:r>
    </w:p>
    <w:p>
      <w:pPr>
        <w:pStyle w:val="ListBullet"/>
      </w:pPr>
      <w:r>
        <w:t>Start het reddingsplan: beoordeel of de medewerker kan worden bereikt zonder zelf gevaar te lopen.</w:t>
      </w:r>
    </w:p>
    <w:p>
      <w:pPr>
        <w:pStyle w:val="ListBullet"/>
      </w:pPr>
      <w:r>
        <w:t>Voer geen onveilige reddingspoging uit — wacht op getraind reddingsteam indien nodig.</w:t>
      </w:r>
    </w:p>
    <w:p>
      <w:pPr>
        <w:pStyle w:val="Heading2"/>
      </w:pPr>
      <w:r>
        <w:t>11.2 Eerste Hulp</w:t>
      </w:r>
    </w:p>
    <w:p>
      <w:pPr>
        <w:pStyle w:val="ListBullet"/>
      </w:pPr>
      <w:r>
        <w:t>Controleer bewustzijn en ademhaling.</w:t>
      </w:r>
    </w:p>
    <w:p>
      <w:pPr>
        <w:pStyle w:val="ListBullet"/>
      </w:pPr>
      <w:r>
        <w:t>Verleen eerste hulp conform BHV-protocol (stabiliseer nek/wervelkolom bij vermoeden letsels).</w:t>
      </w:r>
    </w:p>
    <w:p>
      <w:pPr>
        <w:pStyle w:val="ListBullet"/>
      </w:pPr>
      <w:r>
        <w:t>Medewerker in harnas na val: binnen 15 minuten bevrijden om orthostatische shock te voorkomen (hangtrauma).</w:t>
      </w:r>
    </w:p>
    <w:p>
      <w:pPr>
        <w:pStyle w:val="Heading2"/>
      </w:pPr>
      <w:r>
        <w:t>11.3 Melding en Investigatie</w:t>
      </w:r>
    </w:p>
    <w:p>
      <w:pPr>
        <w:pStyle w:val="ListBullet"/>
      </w:pPr>
      <w:r>
        <w:t>Meld het incident via het Incident Reporting System (conform PE-290-01) [4].</w:t>
      </w:r>
    </w:p>
    <w:p>
      <w:pPr>
        <w:pStyle w:val="ListBullet"/>
      </w:pPr>
      <w:r>
        <w:t>Start een incidentonderzoek binnen 24 uur.</w:t>
      </w:r>
    </w:p>
    <w:p>
      <w:pPr>
        <w:pStyle w:val="ListBullet"/>
      </w:pPr>
      <w:r>
        <w:t>Stel de HSEQ-afdeling en directie in kennis.</w:t>
      </w:r>
    </w:p>
    <w:p>
      <w:pPr>
        <w:pStyle w:val="ListBullet"/>
      </w:pPr>
      <w:r>
        <w:t>Documenteer: locatie, omstandigheden, uitrusting, getuigen, en foto's.</w:t>
      </w:r>
    </w:p>
    <w:p>
      <w:r>
        <w:br w:type="page"/>
      </w:r>
    </w:p>
    <w:p>
      <w:pPr>
        <w:pStyle w:val="Heading1"/>
      </w:pPr>
      <w:r>
        <w:t>12. Bronnenlijst</w:t>
      </w:r>
    </w:p>
    <w:p>
      <w:r>
        <w:t>[1] Phoenix Metals — Procedure Werken op Hoogte, referentie PE-290-02-07</w:t>
      </w:r>
    </w:p>
    <w:p>
      <w:r>
        <w:t>[2] Arbobesluit, Artikel 3.16 — Maatregelen ter voorkoming van valgevaar</w:t>
      </w:r>
    </w:p>
    <w:p>
      <w:r>
        <w:t>[3] Nederlands Normalisatie-instituut — NEN-EN 363, NEN-EN 353, NEN-EN 354, NEN-EN 355, NEN-EN 358, NEN-EN 360, NEN-EN 361, NEN-EN 362, NEN-EN 795</w:t>
      </w:r>
    </w:p>
    <w:p>
      <w:r>
        <w:t>[4] NTA 8620 — Veiligheidsmanagementsysteem voor BRZO inrichtingen (Control of Work)</w:t>
      </w:r>
    </w:p>
    <w:p>
      <w:r>
        <w:t>[5] Meta-Dossier VBS Element 3 — Phoenix Metals IJmuiden, versie 1.0, 2026-04-29</w:t>
      </w:r>
    </w:p>
    <w:p>
      <w:pPr>
        <w:pStyle w:val="Heading1"/>
      </w:pPr>
      <w:r>
        <w:t>13. TierVerify Log</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val="clear"/>
          </w:tcPr>
          <w:p>
            <w:pPr>
              <w:jc w:val="left"/>
            </w:pPr>
            <w:r/>
            <w:r>
              <w:rPr>
                <w:rFonts w:ascii="Calibri" w:hAnsi="Calibri"/>
                <w:b/>
                <w:color w:val="FFFFFF"/>
                <w:sz w:val="20"/>
              </w:rPr>
              <w:t>Check</w:t>
            </w:r>
          </w:p>
        </w:tc>
        <w:tc>
          <w:tcPr>
            <w:tcW w:type="dxa" w:w="2351"/>
            <w:shd w:fill="003366" w:val="clear"/>
          </w:tcPr>
          <w:p>
            <w:pPr>
              <w:jc w:val="left"/>
            </w:pPr>
            <w:r/>
            <w:r>
              <w:rPr>
                <w:rFonts w:ascii="Calibri" w:hAnsi="Calibri"/>
                <w:b/>
                <w:color w:val="FFFFFF"/>
                <w:sz w:val="20"/>
              </w:rPr>
              <w:t>Bron</w:t>
            </w:r>
          </w:p>
        </w:tc>
        <w:tc>
          <w:tcPr>
            <w:tcW w:type="dxa" w:w="2351"/>
            <w:shd w:fill="003366" w:val="clear"/>
          </w:tcPr>
          <w:p>
            <w:pPr>
              <w:jc w:val="left"/>
            </w:pPr>
            <w:r/>
            <w:r>
              <w:rPr>
                <w:rFonts w:ascii="Calibri" w:hAnsi="Calibri"/>
                <w:b/>
                <w:color w:val="FFFFFF"/>
                <w:sz w:val="20"/>
              </w:rPr>
              <w:t>Resultaat</w:t>
            </w:r>
          </w:p>
        </w:tc>
        <w:tc>
          <w:tcPr>
            <w:tcW w:type="dxa" w:w="2351"/>
            <w:shd w:fill="003366" w:val="clear"/>
          </w:tcPr>
          <w:p>
            <w:pPr>
              <w:jc w:val="left"/>
            </w:pPr>
            <w:r/>
            <w:r>
              <w:rPr>
                <w:rFonts w:ascii="Calibri" w:hAnsi="Calibri"/>
                <w:b/>
                <w:color w:val="FFFFFF"/>
                <w:sz w:val="20"/>
              </w:rPr>
              <w:t>Status</w:t>
            </w:r>
          </w:p>
        </w:tc>
      </w:tr>
      <w:tr>
        <w:tc>
          <w:tcPr>
            <w:tcW w:type="dxa" w:w="2351"/>
          </w:tcPr>
          <w:p>
            <w:r/>
            <w:r>
              <w:rPr>
                <w:rFonts w:ascii="Calibri" w:hAnsi="Calibri"/>
                <w:color w:val="1F2937"/>
                <w:sz w:val="20"/>
              </w:rPr>
              <w:t>Wettelijk kader compleet</w:t>
            </w:r>
          </w:p>
        </w:tc>
        <w:tc>
          <w:tcPr>
            <w:tcW w:type="dxa" w:w="2351"/>
          </w:tcPr>
          <w:p>
            <w:r/>
            <w:r>
              <w:rPr>
                <w:rFonts w:ascii="Calibri" w:hAnsi="Calibri"/>
                <w:color w:val="1F2937"/>
                <w:sz w:val="20"/>
              </w:rPr>
              <w:t>Arbobesluit art. 3.16, NEN-EN normen</w:t>
            </w:r>
          </w:p>
        </w:tc>
        <w:tc>
          <w:tcPr>
            <w:tcW w:type="dxa" w:w="2351"/>
          </w:tcPr>
          <w:p>
            <w:r/>
            <w:r>
              <w:rPr>
                <w:rFonts w:ascii="Calibri" w:hAnsi="Calibri"/>
                <w:color w:val="1F2937"/>
                <w:sz w:val="20"/>
              </w:rPr>
              <w:t>Alle relevante normen opgenomen</w:t>
            </w:r>
          </w:p>
        </w:tc>
        <w:tc>
          <w:tcPr>
            <w:tcW w:type="dxa" w:w="2351"/>
          </w:tcPr>
          <w:p>
            <w:r/>
            <w:r>
              <w:rPr>
                <w:rFonts w:ascii="Calibri" w:hAnsi="Calibri"/>
                <w:color w:val="1F2937"/>
                <w:sz w:val="20"/>
              </w:rPr>
              <w:t>✅ Pass</w:t>
            </w:r>
          </w:p>
        </w:tc>
      </w:tr>
      <w:tr>
        <w:tc>
          <w:tcPr>
            <w:tcW w:type="dxa" w:w="2351"/>
            <w:shd w:fill="F8F9FA" w:val="clear"/>
          </w:tcPr>
          <w:p>
            <w:r/>
            <w:r>
              <w:rPr>
                <w:rFonts w:ascii="Calibri" w:hAnsi="Calibri"/>
                <w:color w:val="1F2937"/>
                <w:sz w:val="20"/>
              </w:rPr>
              <w:t>Procedure PE-290-02-07 gevolgd</w:t>
            </w:r>
          </w:p>
        </w:tc>
        <w:tc>
          <w:tcPr>
            <w:tcW w:type="dxa" w:w="2351"/>
            <w:shd w:fill="F8F9FA" w:val="clear"/>
          </w:tcPr>
          <w:p>
            <w:r/>
            <w:r>
              <w:rPr>
                <w:rFonts w:ascii="Calibri" w:hAnsi="Calibri"/>
                <w:color w:val="1F2937"/>
                <w:sz w:val="20"/>
              </w:rPr>
              <w:t>Meta-Dossier §4.1</w:t>
            </w:r>
          </w:p>
        </w:tc>
        <w:tc>
          <w:tcPr>
            <w:tcW w:type="dxa" w:w="2351"/>
            <w:shd w:fill="F8F9FA" w:val="clear"/>
          </w:tcPr>
          <w:p>
            <w:r/>
            <w:r>
              <w:rPr>
                <w:rFonts w:ascii="Calibri" w:hAnsi="Calibri"/>
                <w:color w:val="1F2937"/>
                <w:sz w:val="20"/>
              </w:rPr>
              <w:t>Procedurestructuur overeenkomstig</w:t>
            </w:r>
          </w:p>
        </w:tc>
        <w:tc>
          <w:tcPr>
            <w:tcW w:type="dxa" w:w="2351"/>
            <w:shd w:fill="F8F9FA" w:val="clear"/>
          </w:tcPr>
          <w:p>
            <w:r/>
            <w:r>
              <w:rPr>
                <w:rFonts w:ascii="Calibri" w:hAnsi="Calibri"/>
                <w:color w:val="1F2937"/>
                <w:sz w:val="20"/>
              </w:rPr>
              <w:t>✅ Pass</w:t>
            </w:r>
          </w:p>
        </w:tc>
      </w:tr>
      <w:tr>
        <w:tc>
          <w:tcPr>
            <w:tcW w:type="dxa" w:w="2351"/>
          </w:tcPr>
          <w:p>
            <w:r/>
            <w:r>
              <w:rPr>
                <w:rFonts w:ascii="Calibri" w:hAnsi="Calibri"/>
                <w:color w:val="1F2937"/>
                <w:sz w:val="20"/>
              </w:rPr>
              <w:t>NTA 8620 CoW vereisten</w:t>
            </w:r>
          </w:p>
        </w:tc>
        <w:tc>
          <w:tcPr>
            <w:tcW w:type="dxa" w:w="2351"/>
          </w:tcPr>
          <w:p>
            <w:r/>
            <w:r>
              <w:rPr>
                <w:rFonts w:ascii="Calibri" w:hAnsi="Calibri"/>
                <w:color w:val="1F2937"/>
                <w:sz w:val="20"/>
              </w:rPr>
              <w:t>NTA 8620 [4]</w:t>
            </w:r>
          </w:p>
        </w:tc>
        <w:tc>
          <w:tcPr>
            <w:tcW w:type="dxa" w:w="2351"/>
          </w:tcPr>
          <w:p>
            <w:r/>
            <w:r>
              <w:rPr>
                <w:rFonts w:ascii="Calibri" w:hAnsi="Calibri"/>
                <w:color w:val="1F2937"/>
                <w:sz w:val="20"/>
              </w:rPr>
              <w:t>TRA + werkvergunning opgenomen</w:t>
            </w:r>
          </w:p>
        </w:tc>
        <w:tc>
          <w:tcPr>
            <w:tcW w:type="dxa" w:w="2351"/>
          </w:tcPr>
          <w:p>
            <w:r/>
            <w:r>
              <w:rPr>
                <w:rFonts w:ascii="Calibri" w:hAnsi="Calibri"/>
                <w:color w:val="1F2937"/>
                <w:sz w:val="20"/>
              </w:rPr>
              <w:t>✅ Pass</w:t>
            </w:r>
          </w:p>
        </w:tc>
      </w:tr>
      <w:tr>
        <w:tc>
          <w:tcPr>
            <w:tcW w:type="dxa" w:w="2351"/>
            <w:shd w:fill="F8F9FA" w:val="clear"/>
          </w:tcPr>
          <w:p>
            <w:r/>
            <w:r>
              <w:rPr>
                <w:rFonts w:ascii="Calibri" w:hAnsi="Calibri"/>
                <w:color w:val="1F2937"/>
                <w:sz w:val="20"/>
              </w:rPr>
              <w:t>Hiërarchie maatregelen</w:t>
            </w:r>
          </w:p>
        </w:tc>
        <w:tc>
          <w:tcPr>
            <w:tcW w:type="dxa" w:w="2351"/>
            <w:shd w:fill="F8F9FA" w:val="clear"/>
          </w:tcPr>
          <w:p>
            <w:r/>
            <w:r>
              <w:rPr>
                <w:rFonts w:ascii="Calibri" w:hAnsi="Calibri"/>
                <w:color w:val="1F2937"/>
                <w:sz w:val="20"/>
              </w:rPr>
              <w:t>Arbowetgeving, NEN-EN 363</w:t>
            </w:r>
          </w:p>
        </w:tc>
        <w:tc>
          <w:tcPr>
            <w:tcW w:type="dxa" w:w="2351"/>
            <w:shd w:fill="F8F9FA" w:val="clear"/>
          </w:tcPr>
          <w:p>
            <w:r/>
            <w:r>
              <w:rPr>
                <w:rFonts w:ascii="Calibri" w:hAnsi="Calibri"/>
                <w:color w:val="1F2937"/>
                <w:sz w:val="20"/>
              </w:rPr>
              <w:t>3 niveaus correct toegepast</w:t>
            </w:r>
          </w:p>
        </w:tc>
        <w:tc>
          <w:tcPr>
            <w:tcW w:type="dxa" w:w="2351"/>
            <w:shd w:fill="F8F9FA" w:val="clear"/>
          </w:tcPr>
          <w:p>
            <w:r/>
            <w:r>
              <w:rPr>
                <w:rFonts w:ascii="Calibri" w:hAnsi="Calibri"/>
                <w:color w:val="1F2937"/>
                <w:sz w:val="20"/>
              </w:rPr>
              <w:t>✅ Pass</w:t>
            </w:r>
          </w:p>
        </w:tc>
      </w:tr>
      <w:tr>
        <w:tc>
          <w:tcPr>
            <w:tcW w:type="dxa" w:w="2351"/>
          </w:tcPr>
          <w:p>
            <w:r/>
            <w:r>
              <w:rPr>
                <w:rFonts w:ascii="Calibri" w:hAnsi="Calibri"/>
                <w:color w:val="1F2937"/>
                <w:sz w:val="20"/>
              </w:rPr>
              <w:t>Noodprocedure aanwezig</w:t>
            </w:r>
          </w:p>
        </w:tc>
        <w:tc>
          <w:tcPr>
            <w:tcW w:type="dxa" w:w="2351"/>
          </w:tcPr>
          <w:p>
            <w:r/>
            <w:r>
              <w:rPr>
                <w:rFonts w:ascii="Calibri" w:hAnsi="Calibri"/>
                <w:color w:val="1F2937"/>
                <w:sz w:val="20"/>
              </w:rPr>
              <w:t>BRZO 2015, Bedrijfsnoodplan</w:t>
            </w:r>
          </w:p>
        </w:tc>
        <w:tc>
          <w:tcPr>
            <w:tcW w:type="dxa" w:w="2351"/>
          </w:tcPr>
          <w:p>
            <w:r/>
            <w:r>
              <w:rPr>
                <w:rFonts w:ascii="Calibri" w:hAnsi="Calibri"/>
                <w:color w:val="1F2937"/>
                <w:sz w:val="20"/>
              </w:rPr>
              <w:t>Valincident + redding + hangtrauma</w:t>
            </w:r>
          </w:p>
        </w:tc>
        <w:tc>
          <w:tcPr>
            <w:tcW w:type="dxa" w:w="2351"/>
          </w:tcPr>
          <w:p>
            <w:r/>
            <w:r>
              <w:rPr>
                <w:rFonts w:ascii="Calibri" w:hAnsi="Calibri"/>
                <w:color w:val="1F2937"/>
                <w:sz w:val="20"/>
              </w:rPr>
              <w:t>✅ Pass</w:t>
            </w:r>
          </w:p>
        </w:tc>
      </w:tr>
      <w:tr>
        <w:tc>
          <w:tcPr>
            <w:tcW w:type="dxa" w:w="2351"/>
            <w:shd w:fill="F8F9FA" w:val="clear"/>
          </w:tcPr>
          <w:p>
            <w:r/>
            <w:r>
              <w:rPr>
                <w:rFonts w:ascii="Calibri" w:hAnsi="Calibri"/>
                <w:color w:val="1F2937"/>
                <w:sz w:val="20"/>
              </w:rPr>
              <w:t>Bronverwijzingen</w:t>
            </w:r>
          </w:p>
        </w:tc>
        <w:tc>
          <w:tcPr>
            <w:tcW w:type="dxa" w:w="2351"/>
            <w:shd w:fill="F8F9FA" w:val="clear"/>
          </w:tcPr>
          <w:p>
            <w:r/>
            <w:r>
              <w:rPr>
                <w:rFonts w:ascii="Calibri" w:hAnsi="Calibri"/>
                <w:color w:val="1F2937"/>
                <w:sz w:val="20"/>
              </w:rPr>
              <w:t>STYLEGUIDE §1.8</w:t>
            </w:r>
          </w:p>
        </w:tc>
        <w:tc>
          <w:tcPr>
            <w:tcW w:type="dxa" w:w="2351"/>
            <w:shd w:fill="F8F9FA" w:val="clear"/>
          </w:tcPr>
          <w:p>
            <w:r/>
            <w:r>
              <w:rPr>
                <w:rFonts w:ascii="Calibri" w:hAnsi="Calibri"/>
                <w:color w:val="1F2937"/>
                <w:sz w:val="20"/>
              </w:rPr>
              <w:t>[1] t/m [5] chronologisch</w:t>
            </w:r>
          </w:p>
        </w:tc>
        <w:tc>
          <w:tcPr>
            <w:tcW w:type="dxa" w:w="2351"/>
            <w:shd w:fill="F8F9FA" w:val="clear"/>
          </w:tcPr>
          <w:p>
            <w:r/>
            <w:r>
              <w:rPr>
                <w:rFonts w:ascii="Calibri" w:hAnsi="Calibri"/>
                <w:color w:val="1F2937"/>
                <w:sz w:val="20"/>
              </w:rPr>
              <w:t>✅ Pass</w:t>
            </w:r>
          </w:p>
        </w:tc>
      </w:tr>
      <w:tr>
        <w:tc>
          <w:tcPr>
            <w:tcW w:type="dxa" w:w="2351"/>
          </w:tcPr>
          <w:p>
            <w:r/>
            <w:r>
              <w:rPr>
                <w:rFonts w:ascii="Calibri" w:hAnsi="Calibri"/>
                <w:color w:val="1F2937"/>
                <w:sz w:val="20"/>
              </w:rPr>
              <w:t>Documentheader</w:t>
            </w:r>
          </w:p>
        </w:tc>
        <w:tc>
          <w:tcPr>
            <w:tcW w:type="dxa" w:w="2351"/>
          </w:tcPr>
          <w:p>
            <w:r/>
            <w:r>
              <w:rPr>
                <w:rFonts w:ascii="Calibri" w:hAnsi="Calibri"/>
                <w:color w:val="1F2937"/>
                <w:sz w:val="20"/>
              </w:rPr>
              <w:t>STYLEGUIDE §2.1</w:t>
            </w:r>
          </w:p>
        </w:tc>
        <w:tc>
          <w:tcPr>
            <w:tcW w:type="dxa" w:w="2351"/>
          </w:tcPr>
          <w:p>
            <w:r/>
            <w:r>
              <w:rPr>
                <w:rFonts w:ascii="Calibri" w:hAnsi="Calibri"/>
                <w:color w:val="1F2937"/>
                <w:sz w:val="20"/>
              </w:rPr>
              <w:t>Alle 6 velden aanwezig</w:t>
            </w:r>
          </w:p>
        </w:tc>
        <w:tc>
          <w:tcPr>
            <w:tcW w:type="dxa" w:w="2351"/>
          </w:tcPr>
          <w:p>
            <w:r/>
            <w:r>
              <w:rPr>
                <w:rFonts w:ascii="Calibri" w:hAnsi="Calibri"/>
                <w:color w:val="1F2937"/>
                <w:sz w:val="20"/>
              </w:rPr>
              <w:t>✅ Pass</w:t>
            </w:r>
          </w:p>
        </w:tc>
      </w:tr>
      <w:tr>
        <w:tc>
          <w:tcPr>
            <w:tcW w:type="dxa" w:w="2351"/>
            <w:shd w:fill="F8F9FA" w:val="clear"/>
          </w:tcPr>
          <w:p>
            <w:r/>
            <w:r>
              <w:rPr>
                <w:rFonts w:ascii="Calibri" w:hAnsi="Calibri"/>
                <w:color w:val="1F2937"/>
                <w:sz w:val="20"/>
              </w:rPr>
              <w:t>Brondocument</w:t>
            </w:r>
          </w:p>
        </w:tc>
        <w:tc>
          <w:tcPr>
            <w:tcW w:type="dxa" w:w="2351"/>
            <w:shd w:fill="F8F9FA" w:val="clear"/>
          </w:tcPr>
          <w:p>
            <w:r/>
            <w:r>
              <w:rPr>
                <w:rFonts w:ascii="Calibri" w:hAnsi="Calibri"/>
                <w:color w:val="1F2937"/>
                <w:sz w:val="20"/>
              </w:rPr>
              <w:t>Meta-Dossier v1.0</w:t>
            </w:r>
          </w:p>
        </w:tc>
        <w:tc>
          <w:tcPr>
            <w:tcW w:type="dxa" w:w="2351"/>
            <w:shd w:fill="F8F9FA" w:val="clear"/>
          </w:tcPr>
          <w:p>
            <w:r/>
            <w:r>
              <w:rPr>
                <w:rFonts w:ascii="Calibri" w:hAnsi="Calibri"/>
                <w:color w:val="1F2937"/>
                <w:sz w:val="20"/>
              </w:rPr>
              <w:t>ENIGE bron — geen externe data</w:t>
            </w:r>
          </w:p>
        </w:tc>
        <w:tc>
          <w:tcPr>
            <w:tcW w:type="dxa" w:w="2351"/>
            <w:shd w:fill="F8F9FA" w:val="clear"/>
          </w:tcPr>
          <w:p>
            <w:r/>
            <w:r>
              <w:rPr>
                <w:rFonts w:ascii="Calibri" w:hAnsi="Calibri"/>
                <w:color w:val="1F2937"/>
                <w:sz w:val="20"/>
              </w:rPr>
              <w:t>✅ Pass</w:t>
            </w:r>
          </w:p>
        </w:tc>
      </w:tr>
    </w:tbl>
    <w:sectPr w:rsidR="00FC693F" w:rsidRPr="0006063C" w:rsidSect="00034616">
      <w:footerReference w:type="default" r:id="rId9"/>
      <w:headerReference w:type="default" r:id="rId10"/>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374151"/>
        <w:sz w:val="18"/>
      </w:rPr>
      <w:t>JvG Consultancy | Safety • Governance • Advisory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