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1440000" cy="129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lar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56"/>
        </w:rPr>
        <w:t>QC AUDIT RAPPORT</w:t>
      </w:r>
    </w:p>
    <w:p>
      <w:pPr>
        <w:jc w:val="center"/>
      </w:pPr>
      <w:r>
        <w:rPr>
          <w:color w:val="1F2937"/>
          <w:sz w:val="32"/>
        </w:rPr>
        <w:t>VBS Element 2 — Identificatie en Evaluatie van Gevaren</w:t>
        <w:br/>
        <w:t>Phoenix Metals — Vanadiumproductie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>
            <w:r>
              <w:t>2026-PM-VBS-Element2</w:t>
            </w:r>
          </w:p>
        </w:tc>
      </w:tr>
      <w:tr>
        <w:tc>
          <w:tcPr>
            <w:tcW w:type="dxa" w:w="4320"/>
          </w:tcPr>
          <w:p>
            <w:r>
              <w:t>Type</w:t>
            </w:r>
          </w:p>
        </w:tc>
        <w:tc>
          <w:tcPr>
            <w:tcW w:type="dxa" w:w="4320"/>
          </w:tcPr>
          <w:p>
            <w:r>
              <w:t>QC Audit Rapport (Onafhankelijk)</w:t>
            </w:r>
          </w:p>
        </w:tc>
      </w:tr>
      <w:tr>
        <w:tc>
          <w:tcPr>
            <w:tcW w:type="dxa" w:w="4320"/>
          </w:tcPr>
          <w:p>
            <w:r>
              <w:t>Auteur</w:t>
            </w:r>
          </w:p>
        </w:tc>
        <w:tc>
          <w:tcPr>
            <w:tcW w:type="dxa" w:w="4320"/>
          </w:tcPr>
          <w:p>
            <w:r>
              <w:t>QC Auditor (onafhankelijk)</w:t>
            </w:r>
          </w:p>
        </w:tc>
      </w:tr>
      <w:tr>
        <w:tc>
          <w:tcPr>
            <w:tcW w:type="dxa" w:w="4320"/>
          </w:tcPr>
          <w:p>
            <w:r>
              <w:t>Versie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Datum</w:t>
            </w:r>
          </w:p>
        </w:tc>
        <w:tc>
          <w:tcPr>
            <w:tcW w:type="dxa" w:w="4320"/>
          </w:tcPr>
          <w:p>
            <w:r>
              <w:t>2026-04-29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AFGEROND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Inhoudsopgave</w:t>
      </w:r>
    </w:p>
    <w:p>
      <w:pPr>
        <w:pStyle w:val="ListNumber"/>
      </w:pPr>
      <w:r>
        <w:t>1. Gate 0 — Visual &amp; Tone Check</w:t>
      </w:r>
    </w:p>
    <w:p>
      <w:pPr>
        <w:pStyle w:val="ListNumber"/>
      </w:pPr>
      <w:r>
        <w:t>2. Criteria A — MASTER_STYLEGUIDE Compliance</w:t>
      </w:r>
    </w:p>
    <w:p>
      <w:pPr>
        <w:pStyle w:val="ListNumber"/>
      </w:pPr>
      <w:r>
        <w:t>3. Criteria B — Feitelijke Nauwkeurigheid</w:t>
      </w:r>
    </w:p>
    <w:p>
      <w:pPr>
        <w:pStyle w:val="ListNumber"/>
      </w:pPr>
      <w:r>
        <w:t>4. Criteria C — Algemene Kwaliteit</w:t>
      </w:r>
    </w:p>
    <w:p>
      <w:pPr>
        <w:pStyle w:val="ListNumber"/>
      </w:pPr>
      <w:r>
        <w:t>5. Criteria D — Compleetheid</w:t>
      </w:r>
    </w:p>
    <w:p>
      <w:pPr>
        <w:pStyle w:val="ListNumber"/>
      </w:pPr>
      <w:r>
        <w:t>6. Cross-Document Consistentie</w:t>
      </w:r>
    </w:p>
    <w:p>
      <w:pPr>
        <w:pStyle w:val="ListNumber"/>
      </w:pPr>
      <w:r>
        <w:t>7. Eindbeoordeling</w:t>
      </w:r>
    </w:p>
    <w:p>
      <w:pPr>
        <w:pStyle w:val="ListNumber"/>
      </w:pPr>
      <w:r>
        <w:t>8. Verbeteracties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Gate 0 — Visual &amp; Tone Check</w:t>
      </w:r>
    </w:p>
    <w:p>
      <w:r>
        <w:t>Eerste visuele inspectie van alle 8 DOCX bestanden. Gate 0 blokkeert bij FAIL op kritieke items.</w:t>
      </w:r>
    </w:p>
    <w:p>
      <w:pPr>
        <w:pStyle w:val="Heading2"/>
      </w:pPr>
      <w:r>
        <w:rPr>
          <w:color w:val="003366"/>
        </w:rPr>
        <w:t>PM_VBS02_01_Stofinventarisatie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162 paragrafen, 29 tabellen</w:t>
            </w:r>
          </w:p>
        </w:tc>
      </w:tr>
    </w:tbl>
    <w:p>
      <w:pPr>
        <w:pStyle w:val="Heading2"/>
      </w:pPr>
      <w:r>
        <w:rPr>
          <w:color w:val="003366"/>
        </w:rPr>
        <w:t>PM_VBS02_02_Gevarenregister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146 paragrafen, 39 tabellen</w:t>
            </w:r>
          </w:p>
        </w:tc>
      </w:tr>
    </w:tbl>
    <w:p>
      <w:pPr>
        <w:pStyle w:val="Heading2"/>
      </w:pPr>
      <w:r>
        <w:rPr>
          <w:color w:val="003366"/>
        </w:rPr>
        <w:t>PM_VBS02_03_Risicomatrix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EF4444" w:val="clear"/>
          </w:tcPr>
          <w:p>
            <w:r>
              <w:t>FAIL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118 paragrafen, 44 tabellen</w:t>
            </w:r>
          </w:p>
        </w:tc>
      </w:tr>
    </w:tbl>
    <w:p>
      <w:pPr>
        <w:pStyle w:val="Heading2"/>
      </w:pPr>
      <w:r>
        <w:rPr>
          <w:color w:val="003366"/>
        </w:rPr>
        <w:t>PM_VBS02_04_FMECA_Analyse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54 paragrafen, 10 tabellen</w:t>
            </w:r>
          </w:p>
        </w:tc>
      </w:tr>
    </w:tbl>
    <w:p>
      <w:pPr>
        <w:pStyle w:val="Heading2"/>
      </w:pPr>
      <w:r>
        <w:rPr>
          <w:color w:val="003366"/>
        </w:rPr>
        <w:t>PM_VBS02_05_RIE_Actualisatie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57 paragrafen, 13 tabellen</w:t>
            </w:r>
          </w:p>
        </w:tc>
      </w:tr>
    </w:tbl>
    <w:p>
      <w:pPr>
        <w:pStyle w:val="Heading2"/>
      </w:pPr>
      <w:r>
        <w:rPr>
          <w:color w:val="003366"/>
        </w:rPr>
        <w:t>PM_VBS02_06_Stofexplosie_ATEX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84 paragrafen, 18 tabellen</w:t>
            </w:r>
          </w:p>
        </w:tc>
      </w:tr>
    </w:tbl>
    <w:p>
      <w:pPr>
        <w:pStyle w:val="Heading2"/>
      </w:pPr>
      <w:r>
        <w:rPr>
          <w:color w:val="003366"/>
        </w:rPr>
        <w:t>PM_VBS02_07_HAZOP_Studieopzet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73 paragrafen, 17 tabellen</w:t>
            </w:r>
          </w:p>
        </w:tc>
      </w:tr>
    </w:tbl>
    <w:p>
      <w:pPr>
        <w:pStyle w:val="Heading2"/>
      </w:pPr>
      <w:r>
        <w:rPr>
          <w:color w:val="003366"/>
        </w:rPr>
        <w:t>PM_VBS02_08_BowTie_Procesveiligheid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Lettertype (Calibri)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Logo aanwezig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2.0 cm × 1.8 cm vereist</w:t>
            </w:r>
          </w:p>
        </w:tc>
      </w:tr>
      <w:tr>
        <w:tc>
          <w:tcPr>
            <w:tcW w:type="dxa" w:w="2880"/>
          </w:tcPr>
          <w:p>
            <w:r>
              <w:t>Footer conform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'JvG Consultancy | Safety • Governance • Advisory | © 2026'</w:t>
            </w:r>
          </w:p>
        </w:tc>
      </w:tr>
      <w:tr>
        <w:tc>
          <w:tcPr>
            <w:tcW w:type="dxa" w:w="2880"/>
          </w:tcPr>
          <w:p>
            <w:r>
              <w:t>Header aanwezig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Tone-of-voice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AI-clichés</w:t>
            </w:r>
          </w:p>
        </w:tc>
      </w:tr>
      <w:tr>
        <w:tc>
          <w:tcPr>
            <w:tcW w:type="dxa" w:w="2880"/>
          </w:tcPr>
          <w:p>
            <w:r>
              <w:t>Geen dummy-content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Geen placeholders</w:t>
            </w:r>
          </w:p>
        </w:tc>
      </w:tr>
      <w:tr>
        <w:tc>
          <w:tcPr>
            <w:tcW w:type="dxa" w:w="2880"/>
          </w:tcPr>
          <w:p>
            <w:r>
              <w:t>Visuele hiërarchie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79 paragrafen, 22 tabellen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Criteria A — MASTER_STYLEGUIDE Compliance</w:t>
      </w:r>
    </w:p>
    <w:p>
      <w:pPr>
        <w:pStyle w:val="Heading2"/>
      </w:pPr>
      <w:r>
        <w:rPr>
          <w:color w:val="003366"/>
        </w:rPr>
        <w:t>PM_VBS02_01_Stofinventarisatie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PM_VBS02_02_Gevarenregister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PM_VBS02_03_Risicomatrix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PM_VBS02_04_FMECA_Analyse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PM_VBS02_05_RIE_Actualisatie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PM_VBS02_06_Stofexplosie_ATEX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PM_VBS02_07_HAZOP_Studieopzet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pPr>
        <w:pStyle w:val="Heading2"/>
      </w:pPr>
      <w:r>
        <w:rPr>
          <w:color w:val="003366"/>
        </w:rPr>
        <w:t>PM_VBS02_08_BowTie_Procesveiligheid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JvG branding (logo)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Bronverwijzingen [1][2][3]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§1.8 vereist</w:t>
            </w:r>
          </w:p>
        </w:tc>
      </w:tr>
      <w:tr>
        <w:tc>
          <w:tcPr>
            <w:tcW w:type="dxa" w:w="2880"/>
          </w:tcPr>
          <w:p>
            <w:r>
              <w:t>TierVerify log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§13 vereist</w:t>
            </w:r>
          </w:p>
        </w:tc>
      </w:tr>
      <w:tr>
        <w:tc>
          <w:tcPr>
            <w:tcW w:type="dxa" w:w="2880"/>
          </w:tcPr>
          <w:p>
            <w:r>
              <w:t>Documentheader §2.1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Velden gevonden: ['Project', 'Type', 'Auteur', 'Versie', 'Datum', 'Status']</w:t>
            </w:r>
          </w:p>
        </w:tc>
      </w:tr>
      <w:tr>
        <w:tc>
          <w:tcPr>
            <w:tcW w:type="dxa" w:w="2880"/>
          </w:tcPr>
          <w:p>
            <w:r>
              <w:t>Correct format (DOCX)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Bestand is .docx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Criteria B — Feitelijke Nauwkeurigheid</w:t>
      </w:r>
    </w:p>
    <w:p>
      <w:pPr>
        <w:pStyle w:val="Heading2"/>
      </w:pPr>
      <w:r>
        <w:rPr>
          <w:color w:val="003366"/>
        </w:rPr>
        <w:t>PM_VBS02_01_Stofinventarisatie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H-zinnen gevonden: ['Carc. 1B', 'H350i', 'Repr. 2', 'H361d', 'Acute Tox. 2', 'H330', 'STOT RE 1', 'H372', 'Skin Sens. 1', 'H317', 'Aquatic Chronic 2', 'H411']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{'V₂O₅': True, 'NaOH': True, 'H₂SO₄': True}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'Seveso', 'CLP', 'REACH']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PM_VBS02_02_Gevarenregister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H-zinnen gevonden: ['Carc. 1B', 'H350i', 'Acute Tox. 2', 'H330', 'H317', 'Aquatic Chronic 2', 'H411']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'Seveso', 'CLP', 'REACH']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PM_VBS02_03_Risicomatrix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H-zinnen gevonden: ['Carc. 1B', 'H350i', 'H330', 'H317', 'Aquatic Chronic 2', 'H411']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PM_VBS02_04_FMECA_Analyse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H-zinnen gevonden: ['Carc. 1B', 'H350i']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['BRZO']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PM_VBS02_05_RIE_Actualisatie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H-zinnen gevonden: ['Carc. 1B', 'H350i']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'Seveso', 'CLP']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PM_VBS02_06_Stofexplosie_ATEX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H-zinnen gevonden: ['Carc. 1B', 'Acute Tox. 2']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PM_VBS02_07_HAZOP_Studieopzet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H-zinnen gevonden: ['Carc. 1B', 'Acute Tox. 2']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['BRZO', 'Seveso']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PM_VBS02_08_BowTie_Procesveiligheid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V₂O₅ classificatie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H-zinnen gevonden: ['Carc. 1B', 'H350i']</w:t>
            </w:r>
          </w:p>
        </w:tc>
      </w:tr>
      <w:tr>
        <w:tc>
          <w:tcPr>
            <w:tcW w:type="dxa" w:w="2880"/>
          </w:tcPr>
          <w:p>
            <w:r>
              <w:t>CAS-nummers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{'V₂O₅': False, 'NaOH': False, 'H₂SO₄': False}</w:t>
            </w:r>
          </w:p>
        </w:tc>
      </w:tr>
      <w:tr>
        <w:tc>
          <w:tcPr>
            <w:tcW w:type="dxa" w:w="2880"/>
          </w:tcPr>
          <w:p>
            <w:r>
              <w:t>Wetgevingsverwijzingen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['BRZO']</w:t>
            </w:r>
          </w:p>
        </w:tc>
      </w:tr>
      <w:tr>
        <w:tc>
          <w:tcPr>
            <w:tcW w:type="dxa" w:w="2880"/>
          </w:tcPr>
          <w:p>
            <w:r>
              <w:t>Risicoscores correct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4. Criteria C — Algemene Kwaliteit</w:t>
      </w:r>
    </w:p>
    <w:p>
      <w:pPr>
        <w:pStyle w:val="Heading2"/>
      </w:pPr>
      <w:r>
        <w:rPr>
          <w:color w:val="003366"/>
        </w:rPr>
        <w:t>PM_VBS02_01_Stofinventarisatie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~2092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PM_VBS02_02_Gevarenregister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~2921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PM_VBS02_03_Risicomatrix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~3553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['PM_VBS02_02']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PM_VBS02_04_FMECA_Analyse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~1637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PM_VBS02_05_RIE_Actualisatie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~1094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PM_VBS02_06_Stofexplosie_ATEX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~2312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Gevonden: ['PM_VBS02_06']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PM_VBS02_07_HAZOP_Studieopzet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~1601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rPr>
          <w:color w:val="003366"/>
        </w:rPr>
        <w:t>PM_VBS02_08_BowTie_Procesveiligheid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Compleetheid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~1423 woorden</w:t>
            </w:r>
          </w:p>
        </w:tc>
      </w:tr>
      <w:tr>
        <w:tc>
          <w:tcPr>
            <w:tcW w:type="dxa" w:w="2880"/>
          </w:tcPr>
          <w:p>
            <w:r>
              <w:t>Cross-referenties</w:t>
            </w:r>
          </w:p>
        </w:tc>
        <w:tc>
          <w:tcPr>
            <w:tcW w:type="dxa" w:w="2880"/>
            <w:shd w:fill="F59E0B" w:val="clear"/>
          </w:tcPr>
          <w:p>
            <w:r>
              <w:t>WARNING</w:t>
            </w:r>
          </w:p>
        </w:tc>
        <w:tc>
          <w:tcPr>
            <w:tcW w:type="dxa" w:w="2880"/>
          </w:tcPr>
          <w:p>
            <w:r>
              <w:t>Gevonden: []</w:t>
            </w:r>
          </w:p>
        </w:tc>
      </w:tr>
      <w:tr>
        <w:tc>
          <w:tcPr>
            <w:tcW w:type="dxa" w:w="2880"/>
          </w:tcPr>
          <w:p>
            <w:r>
              <w:t>Consistente terminologie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Criteria D — Compleetheid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  <w:tc>
          <w:tcPr>
            <w:tcW w:type="dxa" w:w="2880"/>
          </w:tcPr>
          <w:p>
            <w:r>
              <w:t>Opmerking</w:t>
            </w:r>
          </w:p>
        </w:tc>
      </w:tr>
      <w:tr>
        <w:tc>
          <w:tcPr>
            <w:tcW w:type="dxa" w:w="2880"/>
          </w:tcPr>
          <w:p>
            <w:r>
              <w:t>DOCX bestanden (8 vereist)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8/8 aanwezig</w:t>
            </w:r>
          </w:p>
        </w:tc>
      </w:tr>
      <w:tr>
        <w:tc>
          <w:tcPr>
            <w:tcW w:type="dxa" w:w="2880"/>
          </w:tcPr>
          <w:p>
            <w:r>
              <w:t>XLSX bestanden (4 vereist)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4/4 aanwezig</w:t>
            </w:r>
          </w:p>
        </w:tc>
      </w:tr>
      <w:tr>
        <w:tc>
          <w:tcPr>
            <w:tcW w:type="dxa" w:w="2880"/>
          </w:tcPr>
          <w:p>
            <w:r>
              <w:t>Versienummering consistent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Alle bestanden _v1.0</w:t>
            </w:r>
          </w:p>
        </w:tc>
      </w:tr>
      <w:tr>
        <w:tc>
          <w:tcPr>
            <w:tcW w:type="dxa" w:w="2880"/>
          </w:tcPr>
          <w:p>
            <w:r>
              <w:t>Correcte submappen (docx/, xlsx/)</w:t>
            </w:r>
          </w:p>
        </w:tc>
        <w:tc>
          <w:tcPr>
            <w:tcW w:type="dxa" w:w="2880"/>
            <w:shd w:fill="00A859" w:val="clear"/>
          </w:tcPr>
          <w:p>
            <w:r>
              <w:t>PASS</w:t>
            </w:r>
          </w:p>
        </w:tc>
        <w:tc>
          <w:tcPr>
            <w:tcW w:type="dxa" w:w="2880"/>
          </w:tcPr>
          <w:p>
            <w:r>
              <w:t>Alle bestanden in juiste mappen</w:t>
            </w:r>
          </w:p>
        </w:tc>
      </w:tr>
    </w:tbl>
    <w:p>
      <w:pPr>
        <w:pStyle w:val="Heading2"/>
      </w:pPr>
      <w:r>
        <w:rPr>
          <w:color w:val="003366"/>
        </w:rPr>
        <w:t>XLSX Data Inspectie</w:t>
      </w:r>
    </w:p>
    <w:p>
      <w:r>
        <w:t>✅ PM_VBS02_01_Stofinventarisatie_v1.0.xlsx: 2 sheets, 23 rijen — ['Stofinventaris', 'Samenvatting']</w:t>
      </w:r>
    </w:p>
    <w:p>
      <w:r>
        <w:t>✅ PM_VBS02_02_Gevarenregister_v1.0.xlsx: 3 sheets, 56 rijen — ['Gevarenregister', 'Samenvatting', 'Risicomatrix 5x5']</w:t>
      </w:r>
    </w:p>
    <w:p>
      <w:r>
        <w:t>✅ PM_VBS02_03_Risicomatrix_v1.0.xlsx: 3 sheets, 63 rijen — ['Risicobeoordeling', 'Matrix 5x5', 'Samenvatting']</w:t>
      </w:r>
    </w:p>
    <w:p>
      <w:r>
        <w:t>✅ PM_VBS02_04_FMECA_Analyse_v1.0.xlsx: 3 sheets, 60 rijen — ['FMECA', 'RPN Ranking', 'Samenvatting']</w:t>
      </w:r>
    </w:p>
    <w:p>
      <w:r>
        <w:br w:type="page"/>
      </w:r>
    </w:p>
    <w:p>
      <w:pPr>
        <w:pStyle w:val="Heading1"/>
      </w:pPr>
      <w:r>
        <w:rPr>
          <w:color w:val="003366"/>
        </w:rPr>
        <w:t>6. Cross-Document Consistentie</w:t>
      </w:r>
    </w:p>
    <w:p>
      <w:r>
        <w:t>V₂O₅ classificatie consistentie across documenten: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</w:t>
            </w:r>
          </w:p>
        </w:tc>
        <w:tc>
          <w:tcPr>
            <w:tcW w:type="dxa" w:w="4320"/>
          </w:tcPr>
          <w:p>
            <w:r>
              <w:t>V₂O₅ H-zinnen gevonden</w:t>
            </w:r>
          </w:p>
        </w:tc>
      </w:tr>
      <w:tr>
        <w:tc>
          <w:tcPr>
            <w:tcW w:type="dxa" w:w="4320"/>
          </w:tcPr>
          <w:p>
            <w:r>
              <w:t>PM_VBS02_01_Stofinventarisatie</w:t>
            </w:r>
          </w:p>
        </w:tc>
        <w:tc>
          <w:tcPr>
            <w:tcW w:type="dxa" w:w="4320"/>
          </w:tcPr>
          <w:p>
            <w:r>
              <w:t>Carc. 1B, H350i, Repr. 2, H361d, Acute Tox. 2, H330, STOT RE 1, H372, Skin Sens. 1, H317, Aquatic Chronic 2, H411</w:t>
            </w:r>
          </w:p>
        </w:tc>
      </w:tr>
      <w:tr>
        <w:tc>
          <w:tcPr>
            <w:tcW w:type="dxa" w:w="4320"/>
          </w:tcPr>
          <w:p>
            <w:r>
              <w:t>PM_VBS02_02_Gevarenregister</w:t>
            </w:r>
          </w:p>
        </w:tc>
        <w:tc>
          <w:tcPr>
            <w:tcW w:type="dxa" w:w="4320"/>
          </w:tcPr>
          <w:p>
            <w:r>
              <w:t>Carc. 1B, H350i, Acute Tox. 2, H330, H317, Aquatic Chronic 2, H411</w:t>
            </w:r>
          </w:p>
        </w:tc>
      </w:tr>
      <w:tr>
        <w:tc>
          <w:tcPr>
            <w:tcW w:type="dxa" w:w="4320"/>
          </w:tcPr>
          <w:p>
            <w:r>
              <w:t>PM_VBS02_03_Risicomatrix</w:t>
            </w:r>
          </w:p>
        </w:tc>
        <w:tc>
          <w:tcPr>
            <w:tcW w:type="dxa" w:w="4320"/>
          </w:tcPr>
          <w:p>
            <w:r>
              <w:t>Carc. 1B, H350i, H330, H317, Aquatic Chronic 2, H411</w:t>
            </w:r>
          </w:p>
        </w:tc>
      </w:tr>
      <w:tr>
        <w:tc>
          <w:tcPr>
            <w:tcW w:type="dxa" w:w="4320"/>
          </w:tcPr>
          <w:p>
            <w:r>
              <w:t>PM_VBS02_04_FMECA_Analyse</w:t>
            </w:r>
          </w:p>
        </w:tc>
        <w:tc>
          <w:tcPr>
            <w:tcW w:type="dxa" w:w="4320"/>
          </w:tcPr>
          <w:p>
            <w:r>
              <w:t>Carc. 1B, H350i</w:t>
            </w:r>
          </w:p>
        </w:tc>
      </w:tr>
      <w:tr>
        <w:tc>
          <w:tcPr>
            <w:tcW w:type="dxa" w:w="4320"/>
          </w:tcPr>
          <w:p>
            <w:r>
              <w:t>PM_VBS02_05_RIE_Actualisatie</w:t>
            </w:r>
          </w:p>
        </w:tc>
        <w:tc>
          <w:tcPr>
            <w:tcW w:type="dxa" w:w="4320"/>
          </w:tcPr>
          <w:p>
            <w:r>
              <w:t>Carc. 1B, H350i</w:t>
            </w:r>
          </w:p>
        </w:tc>
      </w:tr>
      <w:tr>
        <w:tc>
          <w:tcPr>
            <w:tcW w:type="dxa" w:w="4320"/>
          </w:tcPr>
          <w:p>
            <w:r>
              <w:t>PM_VBS02_06_Stofexplosie_ATEX</w:t>
            </w:r>
          </w:p>
        </w:tc>
        <w:tc>
          <w:tcPr>
            <w:tcW w:type="dxa" w:w="4320"/>
          </w:tcPr>
          <w:p>
            <w:r>
              <w:t>Carc. 1B, Acute Tox. 2</w:t>
            </w:r>
          </w:p>
        </w:tc>
      </w:tr>
      <w:tr>
        <w:tc>
          <w:tcPr>
            <w:tcW w:type="dxa" w:w="4320"/>
          </w:tcPr>
          <w:p>
            <w:r>
              <w:t>PM_VBS02_07_HAZOP_Studieopzet</w:t>
            </w:r>
          </w:p>
        </w:tc>
        <w:tc>
          <w:tcPr>
            <w:tcW w:type="dxa" w:w="4320"/>
          </w:tcPr>
          <w:p>
            <w:r>
              <w:t>Carc. 1B, Acute Tox. 2</w:t>
            </w:r>
          </w:p>
        </w:tc>
      </w:tr>
      <w:tr>
        <w:tc>
          <w:tcPr>
            <w:tcW w:type="dxa" w:w="4320"/>
          </w:tcPr>
          <w:p>
            <w:r>
              <w:t>PM_VBS02_08_BowTie_Procesveiligheid</w:t>
            </w:r>
          </w:p>
        </w:tc>
        <w:tc>
          <w:tcPr>
            <w:tcW w:type="dxa" w:w="4320"/>
          </w:tcPr>
          <w:p>
            <w:r>
              <w:t>Carc. 1B, H350i</w:t>
            </w:r>
          </w:p>
        </w:tc>
      </w:tr>
    </w:tbl>
    <w:p/>
    <w:p>
      <w:r>
        <w:t>CAS-nummer consistentie:</w:t>
      </w:r>
    </w:p>
    <w:p>
      <w:r>
        <w:t xml:space="preserve">  PM_VBS02_01_Stofinventarisatie: {'V₂O₅': True, 'NaOH': True, 'H₂SO₄': True}</w:t>
      </w:r>
    </w:p>
    <w:p>
      <w:r>
        <w:t xml:space="preserve">  PM_VBS02_02_Gevarenregister: {'V₂O₅': False, 'NaOH': False, 'H₂SO₄': False}</w:t>
      </w:r>
    </w:p>
    <w:p>
      <w:r>
        <w:t xml:space="preserve">  PM_VBS02_03_Risicomatrix: {'V₂O₅': False, 'NaOH': False, 'H₂SO₄': False}</w:t>
      </w:r>
    </w:p>
    <w:p>
      <w:r>
        <w:t xml:space="preserve">  PM_VBS02_04_FMECA_Analyse: {'V₂O₅': False, 'NaOH': False, 'H₂SO₄': False}</w:t>
      </w:r>
    </w:p>
    <w:p>
      <w:r>
        <w:t xml:space="preserve">  PM_VBS02_05_RIE_Actualisatie: {'V₂O₅': False, 'NaOH': False, 'H₂SO₄': False}</w:t>
      </w:r>
    </w:p>
    <w:p>
      <w:r>
        <w:t xml:space="preserve">  PM_VBS02_06_Stofexplosie_ATEX: {'V₂O₅': False, 'NaOH': False, 'H₂SO₄': False}</w:t>
      </w:r>
    </w:p>
    <w:p>
      <w:r>
        <w:t xml:space="preserve">  PM_VBS02_07_HAZOP_Studieopzet: {'V₂O₅': False, 'NaOH': False, 'H₂SO₄': False}</w:t>
      </w:r>
    </w:p>
    <w:p>
      <w:r>
        <w:t xml:space="preserve">  PM_VBS02_08_BowTie_Procesveiligheid: {'V₂O₅': False, 'NaOH': False, 'H₂SO₄': False}</w:t>
      </w:r>
    </w:p>
    <w:p/>
    <w:p>
      <w:r>
        <w:t>Tegenstrijdiganalyse:</w:t>
      </w:r>
    </w:p>
    <w:p>
      <w:r>
        <w:t>⚠️ Mogelijke tegenstrijdigheden — zie detailgegevens boven.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7. Eindbeoordeling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>
              <w:t>Gate 0</w:t>
            </w:r>
          </w:p>
        </w:tc>
        <w:tc>
          <w:tcPr>
            <w:tcW w:type="dxa" w:w="1440"/>
          </w:tcPr>
          <w:p>
            <w:r>
              <w:t>Crit A</w:t>
            </w:r>
          </w:p>
        </w:tc>
        <w:tc>
          <w:tcPr>
            <w:tcW w:type="dxa" w:w="1440"/>
          </w:tcPr>
          <w:p>
            <w:r>
              <w:t>Crit B</w:t>
            </w:r>
          </w:p>
        </w:tc>
        <w:tc>
          <w:tcPr>
            <w:tcW w:type="dxa" w:w="1440"/>
          </w:tcPr>
          <w:p>
            <w:r>
              <w:t>Crit C</w:t>
            </w:r>
          </w:p>
        </w:tc>
        <w:tc>
          <w:tcPr>
            <w:tcW w:type="dxa" w:w="1440"/>
          </w:tcPr>
          <w:p>
            <w:r>
              <w:t>Totaal</w:t>
            </w:r>
          </w:p>
        </w:tc>
      </w:tr>
      <w:tr>
        <w:tc>
          <w:tcPr>
            <w:tcW w:type="dxa" w:w="1440"/>
          </w:tcPr>
          <w:p>
            <w:r>
              <w:t>#01_Stofinventarisatie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#02_Gevarenregister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#03_Risicomatrix</w:t>
            </w:r>
          </w:p>
        </w:tc>
        <w:tc>
          <w:tcPr>
            <w:tcW w:type="dxa" w:w="1440"/>
            <w:shd w:fill="EF4444" w:val="clear"/>
          </w:tcPr>
          <w:p>
            <w:r>
              <w:t>FAIL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EF4444" w:val="clear"/>
          </w:tcPr>
          <w:p>
            <w:r>
              <w:t>FAIL</w:t>
            </w:r>
          </w:p>
        </w:tc>
      </w:tr>
      <w:tr>
        <w:tc>
          <w:tcPr>
            <w:tcW w:type="dxa" w:w="1440"/>
          </w:tcPr>
          <w:p>
            <w:r>
              <w:t>#04_FMECA_Analyse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#05_RIE_Actualisatie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#06_Stofexplosie_ATEX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#07_HAZOP_Studieopzet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#08_BowTie_Procesveiligheid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  <w:tc>
          <w:tcPr>
            <w:tcW w:type="dxa" w:w="1440"/>
            <w:shd w:fill="F59E0B" w:val="clear"/>
          </w:tcPr>
          <w:p>
            <w:r>
              <w:t>WARNING</w:t>
            </w:r>
          </w:p>
        </w:tc>
      </w:tr>
      <w:tr>
        <w:tc>
          <w:tcPr>
            <w:tcW w:type="dxa" w:w="1440"/>
          </w:tcPr>
          <w:p>
            <w:r>
              <w:t>#01_Stofinventarisatie (XLSX)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</w:tr>
      <w:tr>
        <w:tc>
          <w:tcPr>
            <w:tcW w:type="dxa" w:w="1440"/>
          </w:tcPr>
          <w:p>
            <w:r>
              <w:t>#02_Gevarenregister (XLSX)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</w:tr>
      <w:tr>
        <w:tc>
          <w:tcPr>
            <w:tcW w:type="dxa" w:w="1440"/>
          </w:tcPr>
          <w:p>
            <w:r>
              <w:t>#03_Risicomatrix (XLSX)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</w:tr>
      <w:tr>
        <w:tc>
          <w:tcPr>
            <w:tcW w:type="dxa" w:w="1440"/>
          </w:tcPr>
          <w:p>
            <w:r>
              <w:t>#04_FMECA_Analyse (XLSX)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  <w:shd w:fill="00A859" w:val="clear"/>
          </w:tcPr>
          <w:p>
            <w:r>
              <w:t>PASS</w:t>
            </w:r>
          </w:p>
        </w:tc>
      </w:tr>
    </w:tbl>
    <w:p/>
    <w:p>
      <w:pPr>
        <w:pStyle w:val="Heading2"/>
      </w:pPr>
      <w:r>
        <w:rPr>
          <w:color w:val="003366"/>
        </w:rPr>
        <w:t>Samenvatting</w:t>
      </w:r>
    </w:p>
    <w:p>
      <w:r>
        <w:t>Totaal checks uitgevoerd: 216</w:t>
      </w:r>
    </w:p>
    <w:p>
      <w:r>
        <w:t>✅ PASS: 115 (53%)</w:t>
      </w:r>
    </w:p>
    <w:p>
      <w:r>
        <w:t>⚠️ WARNING: 28 (12%)</w:t>
      </w:r>
    </w:p>
    <w:p>
      <w:r>
        <w:t>❌ FAIL: 1 (0%)</w:t>
      </w:r>
    </w:p>
    <w:p/>
    <w:p>
      <w:r>
        <w:rPr>
          <w:b/>
          <w:sz w:val="28"/>
        </w:rPr>
        <w:t>ALGEMEEN OORDEEL: FAIL — 1 kritieke bevindingen vereisen onmiddellijke correctie.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Verbeteracties</w:t>
      </w:r>
    </w:p>
    <w:p>
      <w:pPr>
        <w:pStyle w:val="Heading2"/>
      </w:pPr>
      <w:r>
        <w:rPr>
          <w:color w:val="003366"/>
        </w:rPr>
        <w:t>PM_VBS02_02_Gevarenregister</w:t>
      </w:r>
    </w:p>
    <w:p>
      <w:pPr>
        <w:pStyle w:val="ListNumber"/>
      </w:pPr>
      <w:r>
        <w:t>1.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PM_VBS02_03_Risicomatrix</w:t>
      </w:r>
    </w:p>
    <w:p>
      <w:pPr>
        <w:pStyle w:val="ListNumber"/>
      </w:pPr>
      <w:r>
        <w:t>2. Footer ontbreekt of niet conform — vereist: 'JvG Consultancy | Safety • Governance • Advisory | © 2026'</w:t>
      </w:r>
    </w:p>
    <w:p>
      <w:pPr>
        <w:pStyle w:val="ListNumber"/>
      </w:pPr>
      <w:r>
        <w:t>3.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PM_VBS02_04_FMECA_Analyse</w:t>
      </w:r>
    </w:p>
    <w:p>
      <w:pPr>
        <w:pStyle w:val="ListNumber"/>
      </w:pPr>
      <w:r>
        <w:t>4. V₂O₅ classificatie incompleet — gevonden: ['Carc. 1B', 'H350i']</w:t>
      </w:r>
    </w:p>
    <w:p>
      <w:pPr>
        <w:pStyle w:val="ListNumber"/>
      </w:pPr>
      <w:r>
        <w:t>5.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PM_VBS02_05_RIE_Actualisatie</w:t>
      </w:r>
    </w:p>
    <w:p>
      <w:pPr>
        <w:pStyle w:val="ListNumber"/>
      </w:pPr>
      <w:r>
        <w:t>6. V₂O₅ classificatie incompleet — gevonden: ['Carc. 1B', 'H350i']</w:t>
      </w:r>
    </w:p>
    <w:p>
      <w:pPr>
        <w:pStyle w:val="ListNumber"/>
      </w:pPr>
      <w:r>
        <w:t>7.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PM_VBS02_06_Stofexplosie_ATEX</w:t>
      </w:r>
    </w:p>
    <w:p>
      <w:pPr>
        <w:pStyle w:val="ListNumber"/>
      </w:pPr>
      <w:r>
        <w:t>8. V₂O₅ classificatie incompleet — gevonden: ['Carc. 1B', 'Acute Tox. 2']</w:t>
      </w:r>
    </w:p>
    <w:p>
      <w:pPr>
        <w:pStyle w:val="ListNumber"/>
      </w:pPr>
      <w:r>
        <w:t>9.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PM_VBS02_07_HAZOP_Studieopzet</w:t>
      </w:r>
    </w:p>
    <w:p>
      <w:pPr>
        <w:pStyle w:val="ListNumber"/>
      </w:pPr>
      <w:r>
        <w:t>10. V₂O₅ classificatie incompleet — gevonden: ['Carc. 1B', 'Acute Tox. 2']</w:t>
      </w:r>
    </w:p>
    <w:p>
      <w:pPr>
        <w:pStyle w:val="ListNumber"/>
      </w:pPr>
      <w:r>
        <w:t>11. CAS-nummers mogelijk incompleet — check: {'V₂O₅': False, 'NaOH': False, 'H₂SO₄': False}</w:t>
      </w:r>
    </w:p>
    <w:p>
      <w:pPr>
        <w:pStyle w:val="Heading2"/>
      </w:pPr>
      <w:r>
        <w:rPr>
          <w:color w:val="003366"/>
        </w:rPr>
        <w:t>PM_VBS02_08_BowTie_Procesveiligheid</w:t>
      </w:r>
    </w:p>
    <w:p>
      <w:pPr>
        <w:pStyle w:val="ListNumber"/>
      </w:pPr>
      <w:r>
        <w:t>12. V₂O₅ classificatie incompleet — gevonden: ['Carc. 1B', 'H350i']</w:t>
      </w:r>
    </w:p>
    <w:p>
      <w:pPr>
        <w:pStyle w:val="ListNumber"/>
      </w:pPr>
      <w:r>
        <w:t>13. CAS-nummers mogelijk incompleet — check: {'V₂O₅': False, 'NaOH': False, 'H₂SO₄': False}</w:t>
      </w:r>
    </w:p>
    <w:p>
      <w:r>
        <w:br w:type="page"/>
      </w:r>
    </w:p>
    <w:p>
      <w:pPr>
        <w:pStyle w:val="Heading1"/>
      </w:pPr>
      <w:r>
        <w:rPr>
          <w:color w:val="003366"/>
        </w:rPr>
        <w:t>TierVerify Log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Bron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  <w:tc>
          <w:tcPr>
            <w:tcW w:type="dxa" w:w="2160"/>
          </w:tcPr>
          <w:p>
            <w:r>
              <w:t>Opmerking</w:t>
            </w:r>
          </w:p>
        </w:tc>
      </w:tr>
      <w:tr>
        <w:tc>
          <w:tcPr>
            <w:tcW w:type="dxa" w:w="2160"/>
          </w:tcPr>
          <w:p>
            <w:r>
              <w:t>Alle 8 DOCX bestanden op disk</w:t>
            </w:r>
          </w:p>
        </w:tc>
        <w:tc>
          <w:tcPr>
            <w:tcW w:type="dxa" w:w="2160"/>
          </w:tcPr>
          <w:p>
            <w:r>
              <w:t>Filesystem ls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8/8</w:t>
            </w:r>
          </w:p>
        </w:tc>
      </w:tr>
      <w:tr>
        <w:tc>
          <w:tcPr>
            <w:tcW w:type="dxa" w:w="2160"/>
          </w:tcPr>
          <w:p>
            <w:r>
              <w:t>Alle 4 XLSX bestanden op disk</w:t>
            </w:r>
          </w:p>
        </w:tc>
        <w:tc>
          <w:tcPr>
            <w:tcW w:type="dxa" w:w="2160"/>
          </w:tcPr>
          <w:p>
            <w:r>
              <w:t>Filesystem ls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4/4</w:t>
            </w:r>
          </w:p>
        </w:tc>
      </w:tr>
      <w:tr>
        <w:tc>
          <w:tcPr>
            <w:tcW w:type="dxa" w:w="2160"/>
          </w:tcPr>
          <w:p>
            <w:r>
              <w:t>Versienummering _v1.0</w:t>
            </w:r>
          </w:p>
        </w:tc>
        <w:tc>
          <w:tcPr>
            <w:tcW w:type="dxa" w:w="2160"/>
          </w:tcPr>
          <w:p>
            <w:r>
              <w:t>Bestandsnamen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Consistent</w:t>
            </w:r>
          </w:p>
        </w:tc>
      </w:tr>
      <w:tr>
        <w:tc>
          <w:tcPr>
            <w:tcW w:type="dxa" w:w="2160"/>
          </w:tcPr>
          <w:p>
            <w:r>
              <w:t>V₂O₅ CAS 1314-62-1</w:t>
            </w:r>
          </w:p>
        </w:tc>
        <w:tc>
          <w:tcPr>
            <w:tcW w:type="dxa" w:w="2160"/>
          </w:tcPr>
          <w:p>
            <w:r>
              <w:t>Meta-Dossier §2.2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Geverifieerd</w:t>
            </w:r>
          </w:p>
        </w:tc>
      </w:tr>
      <w:tr>
        <w:tc>
          <w:tcPr>
            <w:tcW w:type="dxa" w:w="2160"/>
          </w:tcPr>
          <w:p>
            <w:r>
              <w:t>NaOH CAS 1310-73-2</w:t>
            </w:r>
          </w:p>
        </w:tc>
        <w:tc>
          <w:tcPr>
            <w:tcW w:type="dxa" w:w="2160"/>
          </w:tcPr>
          <w:p>
            <w:r>
              <w:t>Meta-Dossier §2.1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Geverifieerd</w:t>
            </w:r>
          </w:p>
        </w:tc>
      </w:tr>
      <w:tr>
        <w:tc>
          <w:tcPr>
            <w:tcW w:type="dxa" w:w="2160"/>
          </w:tcPr>
          <w:p>
            <w:r>
              <w:t>H₂SO₄ CAS 7664-93-9</w:t>
            </w:r>
          </w:p>
        </w:tc>
        <w:tc>
          <w:tcPr>
            <w:tcW w:type="dxa" w:w="2160"/>
          </w:tcPr>
          <w:p>
            <w:r>
              <w:t>Meta-Dossier §2.1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Geverifieerd</w:t>
            </w:r>
          </w:p>
        </w:tc>
      </w:tr>
      <w:tr>
        <w:tc>
          <w:tcPr>
            <w:tcW w:type="dxa" w:w="2160"/>
          </w:tcPr>
          <w:p>
            <w:r>
              <w:t>BRZO 2015 verwijzingen</w:t>
            </w:r>
          </w:p>
        </w:tc>
        <w:tc>
          <w:tcPr>
            <w:tcW w:type="dxa" w:w="2160"/>
          </w:tcPr>
          <w:p>
            <w:r>
              <w:t>Meta-Dossier §6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Geverifieerd</w:t>
            </w:r>
          </w:p>
        </w:tc>
      </w:tr>
      <w:tr>
        <w:tc>
          <w:tcPr>
            <w:tcW w:type="dxa" w:w="2160"/>
          </w:tcPr>
          <w:p>
            <w:r>
              <w:t>Seveso III verwijzingen</w:t>
            </w:r>
          </w:p>
        </w:tc>
        <w:tc>
          <w:tcPr>
            <w:tcW w:type="dxa" w:w="2160"/>
          </w:tcPr>
          <w:p>
            <w:r>
              <w:t>Meta-Dossier §6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  <w:tc>
          <w:tcPr>
            <w:tcW w:type="dxa" w:w="2160"/>
          </w:tcPr>
          <w:p>
            <w:r>
              <w:t>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8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