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Title"/>
      </w:pPr>
      <w:r>
        <w:rPr>
          <w:rFonts w:ascii="Calibri" w:hAnsi="Calibri"/>
          <w:color w:val="003366"/>
        </w:rPr>
        <w:t>Milieugevaren Analyse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Phoenix Metals — VBS Element 2: Identificatie &amp; Beoordeling van Gevaren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Type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Rapport — NTA 8620 par. 7.2 / BRZO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HSEQ Specialist — JvG Consultancy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Versie / Datum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v1.0 / 2026-04-29 — Draft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Inhoudsopgave</w:t>
      </w:r>
    </w:p>
    <w:p>
      <w:pPr>
        <w:pStyle w:val="ListNumber"/>
      </w:pPr>
      <w:r>
        <w:t>1. Inleiding</w:t>
      </w:r>
    </w:p>
    <w:p>
      <w:pPr>
        <w:pStyle w:val="ListNumber"/>
      </w:pPr>
      <w:r>
        <w:t>2. Scope Milieugevaren</w:t>
      </w:r>
    </w:p>
    <w:p>
      <w:pPr>
        <w:pStyle w:val="ListNumber"/>
      </w:pPr>
      <w:r>
        <w:t>3. Identificatie Milieugevaren</w:t>
      </w:r>
    </w:p>
    <w:p>
      <w:pPr>
        <w:pStyle w:val="ListNumber"/>
      </w:pPr>
      <w:r>
        <w:t>4. Risicobeoordeling Milieu</w:t>
      </w:r>
    </w:p>
    <w:p>
      <w:pPr>
        <w:pStyle w:val="ListNumber"/>
      </w:pPr>
      <w:r>
        <w:t>5. Maatregelen</w:t>
      </w:r>
    </w:p>
    <w:p>
      <w:pPr>
        <w:pStyle w:val="ListNumber"/>
      </w:pPr>
      <w:r>
        <w:t>6. Monitoring &amp; Rapportage</w:t>
      </w:r>
    </w:p>
    <w:p>
      <w:pPr>
        <w:pStyle w:val="ListNumber"/>
      </w:pPr>
      <w:r>
        <w:t>Bronnenlijst</w:t>
      </w:r>
    </w:p>
    <w:p>
      <w:pPr>
        <w:pStyle w:val="ListNumber"/>
      </w:pPr>
      <w:r>
        <w:t>TierVerify Log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Inleiding</w:t>
      </w:r>
    </w:p>
    <w:p>
      <w:r>
        <w:t>NTA 8620 paragraaf 7.2 vereist dat niet alleen veiligheidsgevaren maar ook milieugevaren worden geïdentificeerd en beoordeeld in het kader van het veiligheidsrapport [1]. Dit document beschrijft de milieugevarenanalyse voor Phoenix Metals, inclusief lucht-emissies, waterlozingen, bodemverontreiniging, afval, en overige milieuaspecten.</w:t>
      </w:r>
    </w:p>
    <w:p>
      <w:pPr>
        <w:pStyle w:val="Heading1"/>
      </w:pPr>
      <w:r>
        <w:rPr>
          <w:rFonts w:ascii="Calibri" w:hAnsi="Calibri"/>
          <w:color w:val="003366"/>
        </w:rPr>
        <w:t>2. Scope Milieugevaren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Aspect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Bron / Oorsprong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Relevantie Phoenix Metals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Lucht-emissies (voorzien)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Procesemissies (stof, dampen, gassen)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Hoog — stofverwerking, zuren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sz w:val="20"/>
              </w:rPr>
              <w:t>Lucht-emissies (onvoorzien)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Calamiteiten, lekkage, brand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Midden — afhankelijk van scenario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Water-lozingen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Proceswater, koelwater, afspoeling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Hoog — zuurhoudend proceswater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sz w:val="20"/>
              </w:rPr>
              <w:t>Bodemverontreiniging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Lekkage, overloop, historisch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Midden — bunding en voorzieningen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Gevaarlijk afval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Reststoffen, slib, filters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Hoog — metaalhoudend afval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sz w:val="20"/>
              </w:rPr>
              <w:t>Geluid / trilling / geur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Installaties, transport, verwerking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Laag — proeffabriek schaal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Identificatie Milieugevaren</w:t>
      </w:r>
    </w:p>
    <w:p>
      <w:r>
        <w:t>Per processtap worden milieugevaren geïdentificeerd, gekoppeld aan de stofinventarisatie (PM_VBS02_01) [2]: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  <w:sz w:val="20"/>
              </w:rPr>
              <w:t>Processtap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  <w:sz w:val="20"/>
              </w:rPr>
              <w:t>Milieugevaar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  <w:sz w:val="20"/>
              </w:rPr>
              <w:t>Stof (PM_VBS02_01)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  <w:sz w:val="20"/>
              </w:rPr>
              <w:t>Severity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Ontvangen grondstoffen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Stofverspreiding bij overslag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Staalslakken (fijn)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Midden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sz w:val="20"/>
              </w:rPr>
              <w:t>Verwerking / reactie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Zure emissies, afvalwater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H₂SO₄, V₂O₅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Hoog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Opslag gevaarlijke stoffen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Bodemverontreiniging bij lek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Zwavelzuur, basen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Hoog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sz w:val="20"/>
              </w:rPr>
              <w:t>Eindproduct opslag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Stofverspreiding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Vanadium-elektrolyt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Midden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Afvalverwerking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Gevaarlijk afval, emissies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Metaalhoudend slib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Hoog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4. Risicobeoordeling Milieu</w:t>
      </w:r>
    </w:p>
    <w:p>
      <w:pPr>
        <w:pStyle w:val="Heading2"/>
      </w:pPr>
      <w:r>
        <w:rPr>
          <w:rFonts w:ascii="Calibri" w:hAnsi="Calibri"/>
          <w:color w:val="003366"/>
        </w:rPr>
        <w:t>4.1 Matrix: Waarschijnlijkheid × Milieueffect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20"/>
              </w:rPr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20"/>
              </w:rPr>
              <w:t>Gering effect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20"/>
              </w:rPr>
              <w:t>Matig effect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20"/>
              </w:rPr>
              <w:t>Ernstig effect</w:t>
            </w:r>
          </w:p>
        </w:tc>
      </w:tr>
      <w:tr>
        <w:tc>
          <w:tcPr>
            <w:tcW w:type="dxa" w:w="1701"/>
          </w:tcPr>
          <w:p>
            <w:r>
              <w:rPr>
                <w:sz w:val="20"/>
              </w:rPr>
              <w:t>Zeer onwaarschijnlijk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Laag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Laag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Midden</w:t>
            </w:r>
          </w:p>
        </w:tc>
      </w:tr>
      <w:tr>
        <w:tc>
          <w:tcPr>
            <w:tcW w:type="dxa" w:w="1701"/>
            <w:shd w:fill="F8F9FA"/>
          </w:tcPr>
          <w:p>
            <w:r>
              <w:rPr>
                <w:sz w:val="20"/>
              </w:rPr>
              <w:t>Onwaarschijnlijk</w:t>
            </w:r>
          </w:p>
        </w:tc>
        <w:tc>
          <w:tcPr>
            <w:tcW w:type="dxa" w:w="1701"/>
            <w:shd w:fill="F8F9FA"/>
          </w:tcPr>
          <w:p>
            <w:r>
              <w:rPr>
                <w:sz w:val="20"/>
              </w:rPr>
              <w:t>Laag</w:t>
            </w:r>
          </w:p>
        </w:tc>
        <w:tc>
          <w:tcPr>
            <w:tcW w:type="dxa" w:w="1701"/>
            <w:shd w:fill="F8F9FA"/>
          </w:tcPr>
          <w:p>
            <w:r>
              <w:rPr>
                <w:sz w:val="20"/>
              </w:rPr>
              <w:t>Midden</w:t>
            </w:r>
          </w:p>
        </w:tc>
        <w:tc>
          <w:tcPr>
            <w:tcW w:type="dxa" w:w="1701"/>
            <w:shd w:fill="F8F9FA"/>
          </w:tcPr>
          <w:p>
            <w:r>
              <w:rPr>
                <w:sz w:val="20"/>
              </w:rPr>
              <w:t>Hoog</w:t>
            </w:r>
          </w:p>
        </w:tc>
      </w:tr>
      <w:tr>
        <w:tc>
          <w:tcPr>
            <w:tcW w:type="dxa" w:w="1701"/>
          </w:tcPr>
          <w:p>
            <w:r>
              <w:rPr>
                <w:sz w:val="20"/>
              </w:rPr>
              <w:t>Waarschijnlijk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Midden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Hoog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Kritiek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4.2 Normen &amp; Grenswaarden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Aspect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Norm / Grenswaarde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Bron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Lucht (stof)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NeR (Nederlandse emissierichtlijn Lucht)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Besluit emissievoorschriften [3]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sz w:val="20"/>
              </w:rPr>
              <w:t>Water (lozing)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Vergunningsvoorwaarden lozing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Wet verontreiniging oppervlaktewateren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Bodem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BGW (basiswaarden grond)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Wet bodembescherming [4]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sz w:val="20"/>
              </w:rPr>
              <w:t>Afval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Landelijk afvalbeheerplan (LAP3)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Wet milieubeheer [5]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4.3 Impactanalyse</w:t>
      </w:r>
    </w:p>
    <w:p>
      <w:r>
        <w:t>Impact op fauna, flora, water en bodem wordt beoordeeld per geïdentificeerd milieugevaar. Primaire impact: verontreiniging van oppervlaktewater en bodem door zure en metaalhoudende vloeistoffen. Secundaire impact: emissie van V₂O₅-deeltjes naar lucht (toxisch voor mens en fauna).</w:t>
      </w:r>
    </w:p>
    <w:p>
      <w:pPr>
        <w:pStyle w:val="Heading1"/>
      </w:pPr>
      <w:r>
        <w:rPr>
          <w:rFonts w:ascii="Calibri" w:hAnsi="Calibri"/>
          <w:color w:val="003366"/>
        </w:rPr>
        <w:t>5. Maatregelen</w:t>
      </w:r>
    </w:p>
    <w:p>
      <w:pPr>
        <w:pStyle w:val="Heading2"/>
      </w:pPr>
      <w:r>
        <w:rPr>
          <w:rFonts w:ascii="Calibri" w:hAnsi="Calibri"/>
          <w:color w:val="003366"/>
        </w:rPr>
        <w:t>5.1 Preventieve Maatregelen</w:t>
      </w:r>
    </w:p>
    <w:p>
      <w:pPr>
        <w:pStyle w:val="ListBullet"/>
      </w:pPr>
      <w:r>
        <w:t>Aanschakeling van lozingen op behandelingsinstallatie (indirecte lozing)</w:t>
      </w:r>
    </w:p>
    <w:p>
      <w:pPr>
        <w:pStyle w:val="ListBullet"/>
      </w:pPr>
      <w:r>
        <w:t>Bunding van opslagtanken (110% inhoud, vloeistofdichte constructie)</w:t>
      </w:r>
    </w:p>
    <w:p>
      <w:pPr>
        <w:pStyle w:val="ListBullet"/>
      </w:pPr>
      <w:r>
        <w:t>Stofafzuiging met filterinstallatie (HEPA) bij verwerkingsprocessen</w:t>
      </w:r>
    </w:p>
    <w:p>
      <w:pPr>
        <w:pStyle w:val="ListBullet"/>
      </w:pPr>
      <w:r>
        <w:t>Gescheiden afvalstromen met correcte bestemming (gevaarlijk afval → erkend verwerker)</w:t>
      </w:r>
    </w:p>
    <w:p>
      <w:pPr>
        <w:pStyle w:val="ListBullet"/>
      </w:pPr>
      <w:r>
        <w:t>Bodembreed voorzien (vloeistofdichte vloeren, lekdetectie)</w:t>
      </w:r>
    </w:p>
    <w:p>
      <w:pPr>
        <w:pStyle w:val="Heading2"/>
      </w:pPr>
      <w:r>
        <w:rPr>
          <w:rFonts w:ascii="Calibri" w:hAnsi="Calibri"/>
          <w:color w:val="003366"/>
        </w:rPr>
        <w:t>5.2 Reactieve Maatregelen</w:t>
      </w:r>
    </w:p>
    <w:p>
      <w:pPr>
        <w:pStyle w:val="ListBullet"/>
      </w:pPr>
      <w:r>
        <w:t>Calamiteitenprocedure bij milieu-incident (koppeling Element 4)</w:t>
      </w:r>
    </w:p>
    <w:p>
      <w:pPr>
        <w:pStyle w:val="ListBullet"/>
      </w:pPr>
      <w:r>
        <w:t>Bodemsanering protocol bij geconstateerde verontreiniging [4]</w:t>
      </w:r>
    </w:p>
    <w:p>
      <w:pPr>
        <w:pStyle w:val="ListBullet"/>
      </w:pPr>
      <w:r>
        <w:t>Noodoverloop voorzieningen voor afvalwater</w:t>
      </w:r>
    </w:p>
    <w:p>
      <w:pPr>
        <w:pStyle w:val="ListBullet"/>
      </w:pPr>
      <w:r>
        <w:t>Absorptiemedium en inkuiping voor lekkagebestrijding</w:t>
      </w:r>
    </w:p>
    <w:p>
      <w:pPr>
        <w:pStyle w:val="Heading2"/>
      </w:pPr>
      <w:r>
        <w:rPr>
          <w:rFonts w:ascii="Calibri" w:hAnsi="Calibri"/>
          <w:color w:val="003366"/>
        </w:rPr>
        <w:t>5.3 Koppeling Environmental Aspects Register</w:t>
      </w:r>
    </w:p>
    <w:p>
      <w:r>
        <w:t>De milieugevaren zijn gekoppeld aan het Environmental Aspects Register van Phoenix Metals. Dit register bevat de aspecten, impacts, en beheersmaatregelen conform ISO 14001 [6].</w:t>
      </w:r>
    </w:p>
    <w:p>
      <w:pPr>
        <w:pStyle w:val="Heading1"/>
      </w:pPr>
      <w:r>
        <w:rPr>
          <w:rFonts w:ascii="Calibri" w:hAnsi="Calibri"/>
          <w:color w:val="003366"/>
        </w:rPr>
        <w:t>6. Monitoring &amp; Rapportage</w:t>
      </w:r>
    </w:p>
    <w:p>
      <w:pPr>
        <w:pStyle w:val="Heading2"/>
      </w:pPr>
      <w:r>
        <w:rPr>
          <w:rFonts w:ascii="Calibri" w:hAnsi="Calibri"/>
          <w:color w:val="003366"/>
        </w:rPr>
        <w:t>6.1 Emissie-monitoring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  <w:sz w:val="20"/>
              </w:rPr>
              <w:t>Parameter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  <w:sz w:val="20"/>
              </w:rPr>
              <w:t>Methode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  <w:sz w:val="20"/>
              </w:rPr>
              <w:t>Norm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Stofemissies (lucht)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Continu (online) + periodiek (jaarlijks)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Isokinetische bemonstering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NeR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sz w:val="20"/>
              </w:rPr>
              <w:t>Afvalwater (samenstelling)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Continu (pH, flow) + periodiek (maandelijks)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Monstername + labanalyse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Vergunning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Bodemkwaliteit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Periodiek (5-jaarlijks)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Bodemsondering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BGW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6.2 Milieujaarverslag</w:t>
      </w:r>
    </w:p>
    <w:p>
      <w:r>
        <w:t>Het milieujaarverslag (IMJV/MJV) wordt jaarlijks opgesteld conform de Wet milieubeheer [5]. CO₂-rapportage vindt plaats conform het EU ETS of MRV-verordening indien van toepassing. Koppeling met Element VII (Veiligheidsbeheerssysteem) voor integratie van milieu in het managementsysteem.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Bronnenlijst</w:t>
      </w:r>
    </w:p>
    <w:p>
      <w:r>
        <w:t>[1] NTA 8620:2020, Paragraaf 7.2 — Identificatie en beoordeling gevaren</w:t>
      </w:r>
    </w:p>
    <w:p>
      <w:r>
        <w:t>[2] PM_VBS02_01 — Stofinventarisatie (Phoenix Metals VBS Element 2)</w:t>
      </w:r>
    </w:p>
    <w:p>
      <w:r>
        <w:t>[3] Besluit emissievoorschriften milieubelastende installaties (Bem) — NeR</w:t>
      </w:r>
    </w:p>
    <w:p>
      <w:r>
        <w:t>[4] Wet bodembescherming (Wbb) — Besluit bodemkwaliteit</w:t>
      </w:r>
    </w:p>
    <w:p>
      <w:r>
        <w:t>[5] Wet milieubeheer — Landelijk afvalbeheerplan 3 (LAP3)</w:t>
      </w:r>
    </w:p>
    <w:p>
      <w:r>
        <w:t>[6] ISO 14001:2015 — Milieumanagementsystemen</w:t>
      </w:r>
    </w:p>
    <w:p>
      <w:pPr>
        <w:pStyle w:val="Heading2"/>
      </w:pPr>
      <w:r>
        <w:rPr>
          <w:rFonts w:ascii="Calibri" w:hAnsi="Calibri"/>
          <w:color w:val="003366"/>
        </w:rPr>
        <w:t>TierVerify Log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Bron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Wettelijk kader correct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Seveso III 2012/18/EU, BRZO 1999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sz w:val="20"/>
              </w:rPr>
              <w:t>NTA 8620 referenties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NTA 8620:2020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Technische data consistent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RIVM, PGS richtlijnen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sz w:val="20"/>
              </w:rPr>
              <w:t>Documentstructuur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MASTER_STYLEGUIDE §2.1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Bronverwijzingen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MASTER_STYLEGUIDE §1.8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✅ Geverifieerd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374151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