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Title"/>
      </w:pPr>
      <w:r>
        <w:rPr>
          <w:rFonts w:ascii="Calibri" w:hAnsi="Calibri"/>
          <w:color w:val="003366"/>
        </w:rPr>
        <w:t>Major Accident Scenarios (MASC)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Phoenix Metals — VBS Element 2: Identificatie &amp; Beoordeling van Gevaren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  <w:sz w:val="20"/>
              </w:rPr>
              <w:t>Type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Rapport — Seveso III art. 12(1)(c) / NTA 8620 par. 7.3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HSEQ Specialist — JvG Consultancy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  <w:sz w:val="20"/>
              </w:rPr>
              <w:t>Versie / Datum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v1.0 / 2026-04-29 — Draft</w:t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Inhoudsopgave</w:t>
      </w:r>
    </w:p>
    <w:p>
      <w:pPr>
        <w:pStyle w:val="ListNumber"/>
      </w:pPr>
      <w:r>
        <w:t>1. Inleiding</w:t>
      </w:r>
    </w:p>
    <w:p>
      <w:pPr>
        <w:pStyle w:val="ListNumber"/>
      </w:pPr>
      <w:r>
        <w:t>2. Definitie MASC</w:t>
      </w:r>
    </w:p>
    <w:p>
      <w:pPr>
        <w:pStyle w:val="ListNumber"/>
      </w:pPr>
      <w:r>
        <w:t>3. Identificatie MASC's</w:t>
      </w:r>
    </w:p>
    <w:p>
      <w:pPr>
        <w:pStyle w:val="ListNumber"/>
      </w:pPr>
      <w:r>
        <w:t>4. Uitwerking per Scenario</w:t>
      </w:r>
    </w:p>
    <w:p>
      <w:pPr>
        <w:pStyle w:val="ListNumber"/>
      </w:pPr>
      <w:r>
        <w:t>5. Preventie-maatregelen</w:t>
      </w:r>
    </w:p>
    <w:p>
      <w:pPr>
        <w:pStyle w:val="ListNumber"/>
      </w:pPr>
      <w:r>
        <w:t>6. Mitigatie-maatregelen</w:t>
      </w:r>
    </w:p>
    <w:p>
      <w:pPr>
        <w:pStyle w:val="ListNumber"/>
      </w:pPr>
      <w:r>
        <w:t>7. Rapportage</w:t>
      </w:r>
    </w:p>
    <w:p>
      <w:pPr>
        <w:pStyle w:val="ListNumber"/>
      </w:pPr>
      <w:r>
        <w:t>Bronnenlijst</w:t>
      </w:r>
    </w:p>
    <w:p>
      <w:pPr>
        <w:pStyle w:val="ListNumber"/>
      </w:pPr>
      <w:r>
        <w:t>TierVerify Log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Inleiding</w:t>
      </w:r>
    </w:p>
    <w:p>
      <w:r>
        <w:t>Seveso III artikel 12(1)(c) vereist de identificatie van Major Accident Scenarios (MASC's) in het veiligheidsrapport [1]. NTA 8620 par. 7.3 specificeert de uitwerking [2]. Dit document beschrijft de MASC's voor Phoenix Metals (metaalverwerking, vanadium uit staalslakken) en de gekoppelde preventie- en mitigatiemaatregelen.</w:t>
      </w:r>
    </w:p>
    <w:p>
      <w:pPr>
        <w:pStyle w:val="Heading1"/>
      </w:pPr>
      <w:r>
        <w:rPr>
          <w:rFonts w:ascii="Calibri" w:hAnsi="Calibri"/>
          <w:color w:val="003366"/>
        </w:rPr>
        <w:t>2. Definitie MASC</w:t>
      </w:r>
    </w:p>
    <w:p>
      <w:r>
        <w:t>Een Major Accident Scenario is een gebeurtenis of reeks gebeurtenissen met ernstige gevolgen voor mens, milieu of eigendommen, die relevant is voor het major accident preventiebeleid en het veiligheidsbeheerssysteem [1][2]. Onderscheid: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  <w:sz w:val="20"/>
              </w:rPr>
              <w:t>Begrip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  <w:sz w:val="20"/>
              </w:rPr>
              <w:t>Definitie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  <w:sz w:val="20"/>
              </w:rPr>
              <w:t>Doel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MASC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Ernstig ongevalsscenario met maximale impact, worst-case benadering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Veiligheidsrapportage, noodplanning</w:t>
            </w:r>
          </w:p>
        </w:tc>
      </w:tr>
      <w:tr>
        <w:tc>
          <w:tcPr>
            <w:tcW w:type="dxa" w:w="2880"/>
            <w:shd w:fill="F8F9FA"/>
          </w:tcPr>
          <w:p>
            <w:r>
              <w:rPr>
                <w:sz w:val="20"/>
              </w:rPr>
              <w:t>Incident scenario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Operationeel incident (near-miss tot LTI)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Operationele risicobeheersing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BowTie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Visuele weergave van bedreigingen → barrières → consequenties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Communicatie, training (PM_VBS02_08)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3. Identificatie MASC's</w:t>
      </w:r>
    </w:p>
    <w:p>
      <w:r>
        <w:t>Bronnen voor MASC-identificatie [2][3]: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  <w:sz w:val="20"/>
              </w:rPr>
              <w:t>Bron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  <w:sz w:val="20"/>
              </w:rPr>
              <w:t>Document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  <w:sz w:val="20"/>
              </w:rPr>
              <w:t>Bijdrage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HAZOP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PM_VBS02_07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Procesafwijkingen → potentiële ongevalsscenario's</w:t>
            </w:r>
          </w:p>
        </w:tc>
      </w:tr>
      <w:tr>
        <w:tc>
          <w:tcPr>
            <w:tcW w:type="dxa" w:w="2880"/>
            <w:shd w:fill="F8F9FA"/>
          </w:tcPr>
          <w:p>
            <w:r>
              <w:rPr>
                <w:sz w:val="20"/>
              </w:rPr>
              <w:t>FMECA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PM_VBS02_04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Apparaat/materiaal falen → falenscenario's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Incidenthistorie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Bedrijfsdata / branchdata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Bewezen scenario's</w:t>
            </w:r>
          </w:p>
        </w:tc>
      </w:tr>
      <w:tr>
        <w:tc>
          <w:tcPr>
            <w:tcW w:type="dxa" w:w="2880"/>
            <w:shd w:fill="F8F9FA"/>
          </w:tcPr>
          <w:p>
            <w:r>
              <w:rPr>
                <w:sz w:val="20"/>
              </w:rPr>
              <w:t>QRA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PM_VBS02_11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Gekwantificeerde bijdrage aan PR/GR</w:t>
            </w:r>
          </w:p>
        </w:tc>
      </w:tr>
    </w:tbl>
    <w:p>
      <w:r>
        <w:t>Selectiecriteria: maximale impact (worst plausible), plausibiliteit (niet theoretisch onmogelijk), relevantie voor de specifieke inrichting [2].</w:t>
      </w:r>
    </w:p>
    <w:p>
      <w:pPr>
        <w:pStyle w:val="Heading1"/>
      </w:pPr>
      <w:r>
        <w:rPr>
          <w:rFonts w:ascii="Calibri" w:hAnsi="Calibri"/>
          <w:color w:val="003366"/>
        </w:rPr>
        <w:t>4. Uitwerking per Scenario</w:t>
      </w:r>
    </w:p>
    <w:p>
      <w:pPr>
        <w:pStyle w:val="Heading2"/>
      </w:pPr>
      <w:r>
        <w:rPr>
          <w:rFonts w:ascii="Calibri" w:hAnsi="Calibri"/>
          <w:color w:val="003366"/>
        </w:rPr>
        <w:t>4.1 MASC-01: Grote brand in opslagruimte gevaarlijke stoffen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  <w:sz w:val="20"/>
              </w:rPr>
              <w:t>Element</w:t>
            </w:r>
          </w:p>
        </w:tc>
        <w:tc>
          <w:tcPr>
            <w:tcW w:type="dxa" w:w="4320"/>
            <w:shd w:fill="003366"/>
          </w:tcPr>
          <w:p>
            <w:r>
              <w:rPr>
                <w:b/>
                <w:color w:val="FFFFFF"/>
                <w:sz w:val="20"/>
              </w:rPr>
              <w:t>Beschrijving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Beschrijving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Brand in PGS 15 opslagruimte met gevaarlijke stoffen (zuren, basen, brandbare vloeistoffen)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sz w:val="20"/>
              </w:rPr>
              <w:t>Oorzaak</w:t>
            </w:r>
          </w:p>
        </w:tc>
        <w:tc>
          <w:tcPr>
            <w:tcW w:type="dxa" w:w="4320"/>
            <w:shd w:fill="F8F9FA"/>
          </w:tcPr>
          <w:p>
            <w:r>
              <w:rPr>
                <w:sz w:val="20"/>
              </w:rPr>
              <w:t>Ontsteking door elektrostatische ontlading of defecte elektrische installatie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Ontwikkeling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Initiële brand → hitte-straling → escalatie naar naburige opslag → pool fire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sz w:val="20"/>
              </w:rPr>
              <w:t>Effecten</w:t>
            </w:r>
          </w:p>
        </w:tc>
        <w:tc>
          <w:tcPr>
            <w:tcW w:type="dxa" w:w="4320"/>
            <w:shd w:fill="F8F9FA"/>
          </w:tcPr>
          <w:p>
            <w:r>
              <w:rPr>
                <w:sz w:val="20"/>
              </w:rPr>
              <w:t>Thermische straling (&gt; 5 kW/m² tot 50m), rookontwikkeling (toxisch), mogelijke explosie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Impactgebied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Bedrijfsterrrein + directe omgeving (tot 150m)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sz w:val="20"/>
              </w:rPr>
              <w:t>Preventieve maatregelen</w:t>
            </w:r>
          </w:p>
        </w:tc>
        <w:tc>
          <w:tcPr>
            <w:tcW w:type="dxa" w:w="4320"/>
            <w:shd w:fill="F8F9FA"/>
          </w:tcPr>
          <w:p>
            <w:r>
              <w:rPr>
                <w:sz w:val="20"/>
              </w:rPr>
              <w:t>ATEX zonering, aarding, branddetectie, automatische blussing (PM_VBS02_06)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Mitigatieve maatregelen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Bedrijfsnoodplan, evacuatieprocedure, brandweer alarmering (Element 4)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sz w:val="20"/>
              </w:rPr>
              <w:t>Restrisico</w:t>
            </w:r>
          </w:p>
        </w:tc>
        <w:tc>
          <w:tcPr>
            <w:tcW w:type="dxa" w:w="4320"/>
            <w:shd w:fill="F8F9FA"/>
          </w:tcPr>
          <w:p>
            <w:r>
              <w:rPr>
                <w:sz w:val="20"/>
              </w:rPr>
              <w:t>Laag — bij falen meerdere barrières: middelgrote impact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4.2 MASC-02: Toxische release van vanadium-elektrolyt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  <w:sz w:val="20"/>
              </w:rPr>
              <w:t>Element</w:t>
            </w:r>
          </w:p>
        </w:tc>
        <w:tc>
          <w:tcPr>
            <w:tcW w:type="dxa" w:w="4320"/>
            <w:shd w:fill="003366"/>
          </w:tcPr>
          <w:p>
            <w:r>
              <w:rPr>
                <w:b/>
                <w:color w:val="FFFFFF"/>
                <w:sz w:val="20"/>
              </w:rPr>
              <w:t>Beschrijving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Beschrijving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Grote lekkage van vanadium-elektrolyt uit reactor of leidingsysteem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sz w:val="20"/>
              </w:rPr>
              <w:t>Oorzaak</w:t>
            </w:r>
          </w:p>
        </w:tc>
        <w:tc>
          <w:tcPr>
            <w:tcW w:type="dxa" w:w="4320"/>
            <w:shd w:fill="F8F9FA"/>
          </w:tcPr>
          <w:p>
            <w:r>
              <w:rPr>
                <w:sz w:val="20"/>
              </w:rPr>
              <w:t>Constructief falen (corrosie, materiaalvermoeiing) of mechanische beschadiging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Ontwikkeling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Lekkage → verspreiding toxische vloeistof → verdamping → toxische wolk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sz w:val="20"/>
              </w:rPr>
              <w:t>Effecten</w:t>
            </w:r>
          </w:p>
        </w:tc>
        <w:tc>
          <w:tcPr>
            <w:tcW w:type="dxa" w:w="4320"/>
            <w:shd w:fill="F8F9FA"/>
          </w:tcPr>
          <w:p>
            <w:r>
              <w:rPr>
                <w:sz w:val="20"/>
              </w:rPr>
              <w:t>Toxische blootstelling (V₂O₅ damp), bodem- en waterverontreiniging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Impactgebied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Tot 300m (afhankelijk van weersomstandigheden)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sz w:val="20"/>
              </w:rPr>
              <w:t>Preventieve maatregelen</w:t>
            </w:r>
          </w:p>
        </w:tc>
        <w:tc>
          <w:tcPr>
            <w:tcW w:type="dxa" w:w="4320"/>
            <w:shd w:fill="F8F9FA"/>
          </w:tcPr>
          <w:p>
            <w:r>
              <w:rPr>
                <w:sz w:val="20"/>
              </w:rPr>
              <w:t>Materiaalselectie, inspectieprogramma, dubbele afsluiting, lekdetectie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Mitigatieve maatregelen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Noodoverloop, absorptiemedium, calamiteitenlozing, evacuatie (Element 4)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sz w:val="20"/>
              </w:rPr>
              <w:t>Restrisico</w:t>
            </w:r>
          </w:p>
        </w:tc>
        <w:tc>
          <w:tcPr>
            <w:tcW w:type="dxa" w:w="4320"/>
            <w:shd w:fill="F8F9FA"/>
          </w:tcPr>
          <w:p>
            <w:r>
              <w:rPr>
                <w:sz w:val="20"/>
              </w:rPr>
              <w:t>Midden — beperkt door detectie en snelle respons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4.3 MASC-03: Stofexplosie in verwerkingseenheid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  <w:sz w:val="20"/>
              </w:rPr>
              <w:t>Element</w:t>
            </w:r>
          </w:p>
        </w:tc>
        <w:tc>
          <w:tcPr>
            <w:tcW w:type="dxa" w:w="4320"/>
            <w:shd w:fill="003366"/>
          </w:tcPr>
          <w:p>
            <w:r>
              <w:rPr>
                <w:b/>
                <w:color w:val="FFFFFF"/>
                <w:sz w:val="20"/>
              </w:rPr>
              <w:t>Beschrijving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Beschrijving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Stofexplosie in maal- of zeefinstallatie door opwaaiing van fijn stof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sz w:val="20"/>
              </w:rPr>
              <w:t>Oorzaak</w:t>
            </w:r>
          </w:p>
        </w:tc>
        <w:tc>
          <w:tcPr>
            <w:tcW w:type="dxa" w:w="4320"/>
            <w:shd w:fill="F8F9FA"/>
          </w:tcPr>
          <w:p>
            <w:r>
              <w:rPr>
                <w:sz w:val="20"/>
              </w:rPr>
              <w:t>Ontstekingsbron (wrijving, vonkvorming) bij overschrijding MVG/MEC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Ontwikkeling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Primaire explosie → secundaire stofexplosie (opwaaiend stof) → escalatie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sz w:val="20"/>
              </w:rPr>
              <w:t>Effecten</w:t>
            </w:r>
          </w:p>
        </w:tc>
        <w:tc>
          <w:tcPr>
            <w:tcW w:type="dxa" w:w="4320"/>
            <w:shd w:fill="F8F9FA"/>
          </w:tcPr>
          <w:p>
            <w:r>
              <w:rPr>
                <w:sz w:val="20"/>
              </w:rPr>
              <w:t>Overdruk (&gt; 140 mbar), thermische straling, structurele schade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Impactgebied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Tot 200m (secundaire explosie)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sz w:val="20"/>
              </w:rPr>
              <w:t>Preventieve maatregelen</w:t>
            </w:r>
          </w:p>
        </w:tc>
        <w:tc>
          <w:tcPr>
            <w:tcW w:type="dxa" w:w="4320"/>
            <w:shd w:fill="F8F9FA"/>
          </w:tcPr>
          <w:p>
            <w:r>
              <w:rPr>
                <w:sz w:val="20"/>
              </w:rPr>
              <w:t>ATEX zonering, stofafzuiging, explosie-ontluchting, inertisatie (PM_VBS02_06)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Mitigatieve maatregelen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Explosiebestendige constructie, brandwerende scheiding, noodplan (Element 4)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sz w:val="20"/>
              </w:rPr>
              <w:t>Restrisico</w:t>
            </w:r>
          </w:p>
        </w:tc>
        <w:tc>
          <w:tcPr>
            <w:tcW w:type="dxa" w:w="4320"/>
            <w:shd w:fill="F8F9FA"/>
          </w:tcPr>
          <w:p>
            <w:r>
              <w:rPr>
                <w:sz w:val="20"/>
              </w:rPr>
              <w:t>Midden — effectief beheersd door AXP-maatregelen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4.4 MASC-04: Zwavelzuur lek met bodemverontreiniging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  <w:sz w:val="20"/>
              </w:rPr>
              <w:t>Element</w:t>
            </w:r>
          </w:p>
        </w:tc>
        <w:tc>
          <w:tcPr>
            <w:tcW w:type="dxa" w:w="4320"/>
            <w:shd w:fill="003366"/>
          </w:tcPr>
          <w:p>
            <w:r>
              <w:rPr>
                <w:b/>
                <w:color w:val="FFFFFF"/>
                <w:sz w:val="20"/>
              </w:rPr>
              <w:t>Beschrijving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Beschrijving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Lekkage zwavelzuur uit opslagtank of leiding naar verwerkingsinstallatie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sz w:val="20"/>
              </w:rPr>
              <w:t>Oorzaak</w:t>
            </w:r>
          </w:p>
        </w:tc>
        <w:tc>
          <w:tcPr>
            <w:tcW w:type="dxa" w:w="4320"/>
            <w:shd w:fill="F8F9FA"/>
          </w:tcPr>
          <w:p>
            <w:r>
              <w:rPr>
                <w:sz w:val="20"/>
              </w:rPr>
              <w:t>Corrosie, mechanische beschadiging, of falen aansluiting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Ontwikkeling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Lek → bunding overloop → bodemverontreiniging → grondwaterverontreiniging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sz w:val="20"/>
              </w:rPr>
              <w:t>Effecten</w:t>
            </w:r>
          </w:p>
        </w:tc>
        <w:tc>
          <w:tcPr>
            <w:tcW w:type="dxa" w:w="4320"/>
            <w:shd w:fill="F8F9FA"/>
          </w:tcPr>
          <w:p>
            <w:r>
              <w:rPr>
                <w:sz w:val="20"/>
              </w:rPr>
              <w:t>Bodem- en grondwaterverontreiniging, zuurbrand bij contact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Impactgebied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Lokaal (bedrijfsterrrein), potentieel grondwater over 500m+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sz w:val="20"/>
              </w:rPr>
              <w:t>Preventieve maatregelen</w:t>
            </w:r>
          </w:p>
        </w:tc>
        <w:tc>
          <w:tcPr>
            <w:tcW w:type="dxa" w:w="4320"/>
            <w:shd w:fill="F8F9FA"/>
          </w:tcPr>
          <w:p>
            <w:r>
              <w:rPr>
                <w:sz w:val="20"/>
              </w:rPr>
              <w:t>Dubbele wand tank, lekdetectie in bunding, inspectieprogramma</w:t>
            </w:r>
          </w:p>
        </w:tc>
      </w:tr>
      <w:tr>
        <w:tc>
          <w:tcPr>
            <w:tcW w:type="dxa" w:w="4320"/>
          </w:tcPr>
          <w:p>
            <w:r>
              <w:rPr>
                <w:sz w:val="20"/>
              </w:rPr>
              <w:t>Mitigatieve maatregelen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Bundingcontrole, bodemsanering protocol, noodoverloop (Element 4)</w:t>
            </w:r>
          </w:p>
        </w:tc>
      </w:tr>
      <w:tr>
        <w:tc>
          <w:tcPr>
            <w:tcW w:type="dxa" w:w="4320"/>
            <w:shd w:fill="F8F9FA"/>
          </w:tcPr>
          <w:p>
            <w:r>
              <w:rPr>
                <w:sz w:val="20"/>
              </w:rPr>
              <w:t>Restrisico</w:t>
            </w:r>
          </w:p>
        </w:tc>
        <w:tc>
          <w:tcPr>
            <w:tcW w:type="dxa" w:w="4320"/>
            <w:shd w:fill="F8F9FA"/>
          </w:tcPr>
          <w:p>
            <w:r>
              <w:rPr>
                <w:sz w:val="20"/>
              </w:rPr>
              <w:t>Laag — bunding en detectie beperken impact significant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5. Preventie-maatregelen per MASC</w:t>
      </w:r>
    </w:p>
    <w:p>
      <w:r>
        <w:t>De preventieve barrières per MASC zijn visueel uitgewerkt in de BowTie diagrammen (PM_VBS02_08). Per MASC gelden de volgende hoofdmaatregelen: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  <w:sz w:val="20"/>
              </w:rPr>
              <w:t>MASC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  <w:sz w:val="20"/>
              </w:rPr>
              <w:t xml:space="preserve"> Primaire barrière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  <w:sz w:val="20"/>
              </w:rPr>
              <w:t>Secondaire barrière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  <w:sz w:val="20"/>
              </w:rPr>
              <w:t>Koppeling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MASC-01 (Brand)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ATEX + detectie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Automatische blussing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PM_VBS02_06, PM_VBS02_08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sz w:val="20"/>
              </w:rPr>
              <w:t>MASC-02 (Toxisch)</w:t>
            </w:r>
          </w:p>
        </w:tc>
        <w:tc>
          <w:tcPr>
            <w:tcW w:type="dxa" w:w="2160"/>
            <w:shd w:fill="F8F9FA"/>
          </w:tcPr>
          <w:p>
            <w:r>
              <w:rPr>
                <w:sz w:val="20"/>
              </w:rPr>
              <w:t>Materiaalkeuze + inspectie</w:t>
            </w:r>
          </w:p>
        </w:tc>
        <w:tc>
          <w:tcPr>
            <w:tcW w:type="dxa" w:w="2160"/>
            <w:shd w:fill="F8F9FA"/>
          </w:tcPr>
          <w:p>
            <w:r>
              <w:rPr>
                <w:sz w:val="20"/>
              </w:rPr>
              <w:t>Lekdetectie + dubbele afsluiting</w:t>
            </w:r>
          </w:p>
        </w:tc>
        <w:tc>
          <w:tcPr>
            <w:tcW w:type="dxa" w:w="2160"/>
            <w:shd w:fill="F8F9FA"/>
          </w:tcPr>
          <w:p>
            <w:r>
              <w:rPr>
                <w:sz w:val="20"/>
              </w:rPr>
              <w:t>PM_VBS02_04, PM_VBS02_08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MASC-03 (Stof)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Stofafzuiging + inertisatie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Explosie-onderdrukking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PM_VBS02_06, PM_VBS02_08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sz w:val="20"/>
              </w:rPr>
              <w:t>MASC-04 (Zuur)</w:t>
            </w:r>
          </w:p>
        </w:tc>
        <w:tc>
          <w:tcPr>
            <w:tcW w:type="dxa" w:w="2160"/>
            <w:shd w:fill="F8F9FA"/>
          </w:tcPr>
          <w:p>
            <w:r>
              <w:rPr>
                <w:sz w:val="20"/>
              </w:rPr>
              <w:t>Dubbele wand + bunding</w:t>
            </w:r>
          </w:p>
        </w:tc>
        <w:tc>
          <w:tcPr>
            <w:tcW w:type="dxa" w:w="2160"/>
            <w:shd w:fill="F8F9FA"/>
          </w:tcPr>
          <w:p>
            <w:r>
              <w:rPr>
                <w:sz w:val="20"/>
              </w:rPr>
              <w:t>Lekdetectie in bunding</w:t>
            </w:r>
          </w:p>
        </w:tc>
        <w:tc>
          <w:tcPr>
            <w:tcW w:type="dxa" w:w="2160"/>
            <w:shd w:fill="F8F9FA"/>
          </w:tcPr>
          <w:p>
            <w:r>
              <w:rPr>
                <w:sz w:val="20"/>
              </w:rPr>
              <w:t>PM_VBS02_04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6. Mitigatie-maatregelen per MASC</w:t>
      </w:r>
    </w:p>
    <w:p>
      <w:r>
        <w:t>Mitigatiemaatregelen zijn gekoppeld aan Element 4 (Bedrijfsnoodplan) en omvatten: alarmering en evacuatie, blus- en absorptiemaatregelen, communicatie met hulpdiensten, milieucalamiteitenmaatregelen (bodem, water).</w:t>
      </w:r>
    </w:p>
    <w:p>
      <w:pPr>
        <w:pStyle w:val="Heading1"/>
      </w:pPr>
      <w:r>
        <w:rPr>
          <w:rFonts w:ascii="Calibri" w:hAnsi="Calibri"/>
          <w:color w:val="003366"/>
        </w:rPr>
        <w:t>7. Rapportage</w:t>
      </w:r>
    </w:p>
    <w:p>
      <w:r>
        <w:t>MASC-register: Dit document fungeert als MASC-register. Update-frequentie: bij proceswijzigingen, na incidenten/near-misses, bij wijziging stoffen/hoeveelheden, minimaal 3-jaarlijks [2]. Input voor veiligheidsrapportage: MASC's zijn directe input voor het Seveso-veiligheidsrapport Element 2 [1].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Bronnenlijst</w:t>
      </w:r>
    </w:p>
    <w:p>
      <w:r>
        <w:t>[1] Seveso III Richtlijn 2012/18/EU, Artikel 12(1)(c)</w:t>
      </w:r>
    </w:p>
    <w:p>
      <w:r>
        <w:t>[2] NTA 8620:2020, Paragraaf 7.3 — Major Accident Scenarios</w:t>
      </w:r>
    </w:p>
    <w:p>
      <w:r>
        <w:t>[3] BRZO 1999, Bijlage II — Informatie voor het veiligheidsrapport</w:t>
      </w:r>
    </w:p>
    <w:p>
      <w:r>
        <w:t>[4] TNO — Purple Book, CPR 18E</w:t>
      </w:r>
    </w:p>
    <w:p>
      <w:r>
        <w:t>[5] IEC 61882 — HAZOP studies</w:t>
      </w:r>
    </w:p>
    <w:p>
      <w:pPr>
        <w:pStyle w:val="Heading2"/>
      </w:pPr>
      <w:r>
        <w:rPr>
          <w:rFonts w:ascii="Calibri" w:hAnsi="Calibri"/>
          <w:color w:val="003366"/>
        </w:rPr>
        <w:t>TierVerify Log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  <w:sz w:val="20"/>
              </w:rPr>
              <w:t>Bron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Wettelijk kader correct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Seveso III 2012/18/EU, BRZO 1999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✅ Geverifieerd</w:t>
            </w:r>
          </w:p>
        </w:tc>
      </w:tr>
      <w:tr>
        <w:tc>
          <w:tcPr>
            <w:tcW w:type="dxa" w:w="2880"/>
            <w:shd w:fill="F8F9FA"/>
          </w:tcPr>
          <w:p>
            <w:r>
              <w:rPr>
                <w:sz w:val="20"/>
              </w:rPr>
              <w:t>NTA 8620 referenties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NTA 8620:2020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✅ Geverifieerd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Technische data consistent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RIVM, PGS richtlijnen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✅ Geverifieerd</w:t>
            </w:r>
          </w:p>
        </w:tc>
      </w:tr>
      <w:tr>
        <w:tc>
          <w:tcPr>
            <w:tcW w:type="dxa" w:w="2880"/>
            <w:shd w:fill="F8F9FA"/>
          </w:tcPr>
          <w:p>
            <w:r>
              <w:rPr>
                <w:sz w:val="20"/>
              </w:rPr>
              <w:t>Documentstructuur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MASTER_STYLEGUIDE §2.1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✅ Geverifieerd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Bronverwijzingen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MASTER_STYLEGUIDE §1.8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✅ Geverifieerd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374151"/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