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720000" cy="648000"/>
                    </a:xfrm>
                    <a:prstGeom prst="rect"/>
                  </pic:spPr>
                </pic:pic>
              </a:graphicData>
            </a:graphic>
          </wp:inline>
        </w:drawing>
      </w:r>
    </w:p>
    <w:p/>
    <w:p>
      <w:pPr>
        <w:pStyle w:val="Title"/>
      </w:pPr>
      <w:r>
        <w:rPr>
          <w:rFonts w:ascii="Calibri" w:hAnsi="Calibri"/>
          <w:color w:val="003366"/>
        </w:rPr>
        <w:t>Externe Veiligheid</w:t>
      </w:r>
    </w:p>
    <w:tbl>
      <w:tblPr>
        <w:tblW w:type="auto" w:w="0"/>
        <w:jc w:val="center"/>
        <w:tblLook w:firstColumn="1" w:firstRow="1" w:lastColumn="0" w:lastRow="0" w:noHBand="0" w:noVBand="1" w:val="04A0"/>
      </w:tblPr>
      <w:tblGrid>
        <w:gridCol w:w="4320"/>
        <w:gridCol w:w="4320"/>
      </w:tblGrid>
      <w:tr>
        <w:tc>
          <w:tcPr>
            <w:tcW w:type="dxa" w:w="4320"/>
            <w:shd w:fill="003366"/>
          </w:tcPr>
          <w:p>
            <w:r>
              <w:rPr>
                <w:b/>
                <w:color w:val="FFFFFF"/>
                <w:sz w:val="20"/>
              </w:rPr>
              <w:t>Project</w:t>
            </w:r>
          </w:p>
        </w:tc>
        <w:tc>
          <w:tcPr>
            <w:tcW w:type="dxa" w:w="4320"/>
          </w:tcPr>
          <w:p>
            <w:r>
              <w:rPr>
                <w:sz w:val="20"/>
              </w:rPr>
              <w:t>Phoenix Metals — VBS Element 2: Identificatie &amp; Beoordeling van Gevaren</w:t>
            </w:r>
          </w:p>
        </w:tc>
      </w:tr>
      <w:tr>
        <w:tc>
          <w:tcPr>
            <w:tcW w:type="dxa" w:w="4320"/>
            <w:shd w:fill="003366"/>
          </w:tcPr>
          <w:p>
            <w:r>
              <w:rPr>
                <w:b/>
                <w:color w:val="FFFFFF"/>
                <w:sz w:val="20"/>
              </w:rPr>
              <w:t>Type</w:t>
            </w:r>
          </w:p>
        </w:tc>
        <w:tc>
          <w:tcPr>
            <w:tcW w:type="dxa" w:w="4320"/>
          </w:tcPr>
          <w:p>
            <w:r>
              <w:rPr>
                <w:sz w:val="20"/>
              </w:rPr>
              <w:t>Rapport — BRZO / Bevi / NTA 8620</w:t>
            </w:r>
          </w:p>
        </w:tc>
      </w:tr>
      <w:tr>
        <w:tc>
          <w:tcPr>
            <w:tcW w:type="dxa" w:w="4320"/>
            <w:shd w:fill="003366"/>
          </w:tcPr>
          <w:p>
            <w:r>
              <w:rPr>
                <w:b/>
                <w:color w:val="FFFFFF"/>
                <w:sz w:val="20"/>
              </w:rPr>
              <w:t>Auteur</w:t>
            </w:r>
          </w:p>
        </w:tc>
        <w:tc>
          <w:tcPr>
            <w:tcW w:type="dxa" w:w="4320"/>
          </w:tcPr>
          <w:p>
            <w:r>
              <w:rPr>
                <w:sz w:val="20"/>
              </w:rPr>
              <w:t>HSEQ Specialist — JvG Consultancy</w:t>
            </w:r>
          </w:p>
        </w:tc>
      </w:tr>
      <w:tr>
        <w:tc>
          <w:tcPr>
            <w:tcW w:type="dxa" w:w="4320"/>
            <w:shd w:fill="003366"/>
          </w:tcPr>
          <w:p>
            <w:r>
              <w:rPr>
                <w:b/>
                <w:color w:val="FFFFFF"/>
                <w:sz w:val="20"/>
              </w:rPr>
              <w:t>Versie / Datum</w:t>
            </w:r>
          </w:p>
        </w:tc>
        <w:tc>
          <w:tcPr>
            <w:tcW w:type="dxa" w:w="4320"/>
          </w:tcPr>
          <w:p>
            <w:r>
              <w:rPr>
                <w:sz w:val="20"/>
              </w:rPr>
              <w:t>v1.0 / 2026-04-29 — Draft</w:t>
            </w:r>
          </w:p>
        </w:tc>
      </w:tr>
    </w:tbl>
    <w:p>
      <w:r>
        <w:br w:type="page"/>
      </w:r>
    </w:p>
    <w:p>
      <w:pPr>
        <w:pStyle w:val="Heading2"/>
      </w:pPr>
      <w:r>
        <w:rPr>
          <w:rFonts w:ascii="Calibri" w:hAnsi="Calibri"/>
          <w:color w:val="003366"/>
        </w:rPr>
        <w:t>Inhoudsopgave</w:t>
      </w:r>
    </w:p>
    <w:p>
      <w:pPr>
        <w:pStyle w:val="ListNumber"/>
      </w:pPr>
      <w:r>
        <w:t>1. Inleiding</w:t>
      </w:r>
    </w:p>
    <w:p>
      <w:pPr>
        <w:pStyle w:val="ListNumber"/>
      </w:pPr>
      <w:r>
        <w:t>2. Wettelijk Kader</w:t>
      </w:r>
    </w:p>
    <w:p>
      <w:pPr>
        <w:pStyle w:val="ListNumber"/>
      </w:pPr>
      <w:r>
        <w:t>3. Plaatsgebonden Risico (PR)</w:t>
      </w:r>
    </w:p>
    <w:p>
      <w:pPr>
        <w:pStyle w:val="ListNumber"/>
      </w:pPr>
      <w:r>
        <w:t>4. Groepsrisico (GR)</w:t>
      </w:r>
    </w:p>
    <w:p>
      <w:pPr>
        <w:pStyle w:val="ListNumber"/>
      </w:pPr>
      <w:r>
        <w:t>5. Effectberekeningen</w:t>
      </w:r>
    </w:p>
    <w:p>
      <w:pPr>
        <w:pStyle w:val="ListNumber"/>
      </w:pPr>
      <w:r>
        <w:t>6. Risicokaart &amp; Zonering</w:t>
      </w:r>
    </w:p>
    <w:p>
      <w:pPr>
        <w:pStyle w:val="ListNumber"/>
      </w:pPr>
      <w:r>
        <w:t>7. Maatregelen &amp; Verantwoording</w:t>
      </w:r>
    </w:p>
    <w:p>
      <w:pPr>
        <w:pStyle w:val="ListNumber"/>
      </w:pPr>
      <w:r>
        <w:t>8. Rapportage</w:t>
      </w:r>
    </w:p>
    <w:p>
      <w:pPr>
        <w:pStyle w:val="ListNumber"/>
      </w:pPr>
      <w:r>
        <w:t>Bronnenlijst</w:t>
      </w:r>
    </w:p>
    <w:p>
      <w:pPr>
        <w:pStyle w:val="ListNumber"/>
      </w:pPr>
      <w:r>
        <w:t>TierVerify Log</w:t>
      </w:r>
    </w:p>
    <w:p>
      <w:r>
        <w:br w:type="page"/>
      </w:r>
    </w:p>
    <w:p>
      <w:pPr>
        <w:pStyle w:val="Heading1"/>
      </w:pPr>
      <w:r>
        <w:rPr>
          <w:rFonts w:ascii="Calibri" w:hAnsi="Calibri"/>
          <w:color w:val="003366"/>
        </w:rPr>
        <w:t>1. Inleiding</w:t>
      </w:r>
    </w:p>
    <w:p>
      <w:r>
        <w:t>Dit document behandelt de externe veiligheid van de Phoenix Metals inrichting te IJmuiden. Externe veiligheid richt zich op de risico's die de inrichting oplevert voor de omgeving (omwonenden, voorbijgangers, kwetsbare objecten). Het kader omvat het Besluit externe veiligheid inrichtingen (Bevi), het BRZO 1999, en NTA 8620 [1][2][3].</w:t>
      </w:r>
    </w:p>
    <w:p>
      <w:pPr>
        <w:pStyle w:val="Heading1"/>
      </w:pPr>
      <w:r>
        <w:rPr>
          <w:rFonts w:ascii="Calibri" w:hAnsi="Calibri"/>
          <w:color w:val="003366"/>
        </w:rPr>
        <w:t>2. Wettelijk Kader</w:t>
      </w:r>
    </w:p>
    <w:tbl>
      <w:tblPr>
        <w:tblW w:type="auto" w:w="0"/>
        <w:jc w:val="center"/>
        <w:tblLook w:firstColumn="1" w:firstRow="1" w:lastColumn="0" w:lastRow="0" w:noHBand="0" w:noVBand="1" w:val="04A0"/>
      </w:tblPr>
      <w:tblGrid>
        <w:gridCol w:w="2880"/>
        <w:gridCol w:w="2880"/>
        <w:gridCol w:w="2880"/>
      </w:tblGrid>
      <w:tr>
        <w:tc>
          <w:tcPr>
            <w:tcW w:type="dxa" w:w="2880"/>
            <w:shd w:fill="003366"/>
          </w:tcPr>
          <w:p>
            <w:r>
              <w:rPr>
                <w:b/>
                <w:color w:val="FFFFFF"/>
                <w:sz w:val="20"/>
              </w:rPr>
              <w:t>Instrument</w:t>
            </w:r>
          </w:p>
        </w:tc>
        <w:tc>
          <w:tcPr>
            <w:tcW w:type="dxa" w:w="2880"/>
            <w:shd w:fill="003366"/>
          </w:tcPr>
          <w:p>
            <w:r>
              <w:rPr>
                <w:b/>
                <w:color w:val="FFFFFF"/>
                <w:sz w:val="20"/>
              </w:rPr>
              <w:t>Reikwijdte</w:t>
            </w:r>
          </w:p>
        </w:tc>
        <w:tc>
          <w:tcPr>
            <w:tcW w:type="dxa" w:w="2880"/>
            <w:shd w:fill="003366"/>
          </w:tcPr>
          <w:p>
            <w:r>
              <w:rPr>
                <w:b/>
                <w:color w:val="FFFFFF"/>
                <w:sz w:val="20"/>
              </w:rPr>
              <w:t>Toepassing</w:t>
            </w:r>
          </w:p>
        </w:tc>
      </w:tr>
      <w:tr>
        <w:tc>
          <w:tcPr>
            <w:tcW w:type="dxa" w:w="2880"/>
          </w:tcPr>
          <w:p>
            <w:r>
              <w:rPr>
                <w:sz w:val="20"/>
              </w:rPr>
              <w:t>Bevi (Besluit externe veiligheid inrichtingen)</w:t>
            </w:r>
          </w:p>
        </w:tc>
        <w:tc>
          <w:tcPr>
            <w:tcW w:type="dxa" w:w="2880"/>
          </w:tcPr>
          <w:p>
            <w:r>
              <w:rPr>
                <w:sz w:val="20"/>
              </w:rPr>
              <w:t>Plaatsgebonden risico en groepsrisico</w:t>
            </w:r>
          </w:p>
        </w:tc>
        <w:tc>
          <w:tcPr>
            <w:tcW w:type="dxa" w:w="2880"/>
          </w:tcPr>
          <w:p>
            <w:r>
              <w:rPr>
                <w:sz w:val="20"/>
              </w:rPr>
              <w:t>PR ≤ 10⁻⁶/jaar, GR verantwoording</w:t>
            </w:r>
          </w:p>
        </w:tc>
      </w:tr>
      <w:tr>
        <w:tc>
          <w:tcPr>
            <w:tcW w:type="dxa" w:w="2880"/>
            <w:shd w:fill="F8F9FA"/>
          </w:tcPr>
          <w:p>
            <w:r>
              <w:rPr>
                <w:sz w:val="20"/>
              </w:rPr>
              <w:t>BRZO 1999</w:t>
            </w:r>
          </w:p>
        </w:tc>
        <w:tc>
          <w:tcPr>
            <w:tcW w:type="dxa" w:w="2880"/>
            <w:shd w:fill="F8F9FA"/>
          </w:tcPr>
          <w:p>
            <w:r>
              <w:rPr>
                <w:sz w:val="20"/>
              </w:rPr>
              <w:t>Seveso-inrichtingen bovenste laag</w:t>
            </w:r>
          </w:p>
        </w:tc>
        <w:tc>
          <w:tcPr>
            <w:tcW w:type="dxa" w:w="2880"/>
            <w:shd w:fill="F8F9FA"/>
          </w:tcPr>
          <w:p>
            <w:r>
              <w:rPr>
                <w:sz w:val="20"/>
              </w:rPr>
              <w:t>Veiligheidsrapportage incl. EV</w:t>
            </w:r>
          </w:p>
        </w:tc>
      </w:tr>
      <w:tr>
        <w:tc>
          <w:tcPr>
            <w:tcW w:type="dxa" w:w="2880"/>
          </w:tcPr>
          <w:p>
            <w:r>
              <w:rPr>
                <w:sz w:val="20"/>
              </w:rPr>
              <w:t>Circulaire risiconormering VROM 2004</w:t>
            </w:r>
          </w:p>
        </w:tc>
        <w:tc>
          <w:tcPr>
            <w:tcW w:type="dxa" w:w="2880"/>
          </w:tcPr>
          <w:p>
            <w:r>
              <w:rPr>
                <w:sz w:val="20"/>
              </w:rPr>
              <w:t>Normering PR/GR</w:t>
            </w:r>
          </w:p>
        </w:tc>
        <w:tc>
          <w:tcPr>
            <w:tcW w:type="dxa" w:w="2880"/>
          </w:tcPr>
          <w:p>
            <w:r>
              <w:rPr>
                <w:sz w:val="20"/>
              </w:rPr>
              <w:t>Referentiekader voor bevoegd gezag</w:t>
            </w:r>
          </w:p>
        </w:tc>
      </w:tr>
      <w:tr>
        <w:tc>
          <w:tcPr>
            <w:tcW w:type="dxa" w:w="2880"/>
            <w:shd w:fill="F8F9FA"/>
          </w:tcPr>
          <w:p>
            <w:r>
              <w:rPr>
                <w:sz w:val="20"/>
              </w:rPr>
              <w:t>PGS 15 (2025)</w:t>
            </w:r>
          </w:p>
        </w:tc>
        <w:tc>
          <w:tcPr>
            <w:tcW w:type="dxa" w:w="2880"/>
            <w:shd w:fill="F8F9FA"/>
          </w:tcPr>
          <w:p>
            <w:r>
              <w:rPr>
                <w:sz w:val="20"/>
              </w:rPr>
              <w:t>Opslag gevaarlijke stoffen</w:t>
            </w:r>
          </w:p>
        </w:tc>
        <w:tc>
          <w:tcPr>
            <w:tcW w:type="dxa" w:w="2880"/>
            <w:shd w:fill="F8F9FA"/>
          </w:tcPr>
          <w:p>
            <w:r>
              <w:rPr>
                <w:sz w:val="20"/>
              </w:rPr>
              <w:t>Maatregelen opslag en omgeving [6]</w:t>
            </w:r>
          </w:p>
        </w:tc>
      </w:tr>
    </w:tbl>
    <w:p>
      <w:pPr>
        <w:pStyle w:val="Heading1"/>
      </w:pPr>
      <w:r>
        <w:rPr>
          <w:rFonts w:ascii="Calibri" w:hAnsi="Calibri"/>
          <w:color w:val="003366"/>
        </w:rPr>
        <w:t>3. Plaatsgebonden Risico (PR)</w:t>
      </w:r>
    </w:p>
    <w:p>
      <w:pPr>
        <w:pStyle w:val="Heading2"/>
      </w:pPr>
      <w:r>
        <w:rPr>
          <w:rFonts w:ascii="Calibri" w:hAnsi="Calibri"/>
          <w:color w:val="003366"/>
        </w:rPr>
        <w:t>3.1 Definitie</w:t>
      </w:r>
    </w:p>
    <w:p>
      <w:r>
        <w:t>Het plaatsgebonden risico (PR) is de kans per jaar dat een onbeschermd persoon op een bepaalde locatie overlijdt als gevolg van een ongeval in de inrichting [1]. De rendementsgrens is PR = 10⁻⁶ per jaar. Binnen de 10⁻⁵ contour mogen geen kwetsbare objecten aanwezig zijn [1][4].</w:t>
      </w:r>
    </w:p>
    <w:p>
      <w:pPr>
        <w:pStyle w:val="Heading2"/>
      </w:pPr>
      <w:r>
        <w:rPr>
          <w:rFonts w:ascii="Calibri" w:hAnsi="Calibri"/>
          <w:color w:val="003366"/>
        </w:rPr>
        <w:t>3.2 Berekeningsmethodiek (vereenvoudigd)</w:t>
      </w:r>
    </w:p>
    <w:p>
      <w:r>
        <w:t>PR wordt berekend als de som van de produkten van scenariofrequentie en sterfkans per scenario [5]:</w:t>
      </w:r>
    </w:p>
    <w:p>
      <w:r>
        <w:t>PR(x,y) = Σᵢ fᵢ × Psterf|x,y(scenario i)</w:t>
      </w:r>
    </w:p>
    <w:p>
      <w:r>
        <w:t>Waarbij fᵢ de frequentie van scenario i is en Psterf de kans op overlijden op locatie (x,y) gegeven scenario i.</w:t>
      </w:r>
    </w:p>
    <w:p>
      <w:pPr>
        <w:pStyle w:val="Heading2"/>
      </w:pPr>
      <w:r>
        <w:rPr>
          <w:rFonts w:ascii="Calibri" w:hAnsi="Calibri"/>
          <w:color w:val="003366"/>
        </w:rPr>
        <w:t>3.3 Contouren en Zonering</w:t>
      </w:r>
    </w:p>
    <w:tbl>
      <w:tblPr>
        <w:tblW w:type="auto" w:w="0"/>
        <w:jc w:val="center"/>
        <w:tblLook w:firstColumn="1" w:firstRow="1" w:lastColumn="0" w:lastRow="0" w:noHBand="0" w:noVBand="1" w:val="04A0"/>
      </w:tblPr>
      <w:tblGrid>
        <w:gridCol w:w="2880"/>
        <w:gridCol w:w="2880"/>
        <w:gridCol w:w="2880"/>
      </w:tblGrid>
      <w:tr>
        <w:tc>
          <w:tcPr>
            <w:tcW w:type="dxa" w:w="2880"/>
            <w:shd w:fill="003366"/>
          </w:tcPr>
          <w:p>
            <w:r>
              <w:rPr>
                <w:b/>
                <w:color w:val="FFFFFF"/>
                <w:sz w:val="20"/>
              </w:rPr>
              <w:t>Contour</w:t>
            </w:r>
          </w:p>
        </w:tc>
        <w:tc>
          <w:tcPr>
            <w:tcW w:type="dxa" w:w="2880"/>
            <w:shd w:fill="003366"/>
          </w:tcPr>
          <w:p>
            <w:r>
              <w:rPr>
                <w:b/>
                <w:color w:val="FFFFFF"/>
                <w:sz w:val="20"/>
              </w:rPr>
              <w:t>Risiconiveau</w:t>
            </w:r>
          </w:p>
        </w:tc>
        <w:tc>
          <w:tcPr>
            <w:tcW w:type="dxa" w:w="2880"/>
            <w:shd w:fill="003366"/>
          </w:tcPr>
          <w:p>
            <w:r>
              <w:rPr>
                <w:b/>
                <w:color w:val="FFFFFF"/>
                <w:sz w:val="20"/>
              </w:rPr>
              <w:t>Beperking</w:t>
            </w:r>
          </w:p>
        </w:tc>
      </w:tr>
      <w:tr>
        <w:tc>
          <w:tcPr>
            <w:tcW w:type="dxa" w:w="2880"/>
          </w:tcPr>
          <w:p>
            <w:r>
              <w:rPr>
                <w:sz w:val="20"/>
              </w:rPr>
              <w:t>PR 10⁻⁵</w:t>
            </w:r>
          </w:p>
        </w:tc>
        <w:tc>
          <w:tcPr>
            <w:tcW w:type="dxa" w:w="2880"/>
          </w:tcPr>
          <w:p>
            <w:r>
              <w:rPr>
                <w:sz w:val="20"/>
              </w:rPr>
              <w:t>1 op 100.000 per jaar</w:t>
            </w:r>
          </w:p>
        </w:tc>
        <w:tc>
          <w:tcPr>
            <w:tcW w:type="dxa" w:w="2880"/>
          </w:tcPr>
          <w:p>
            <w:r>
              <w:rPr>
                <w:sz w:val="20"/>
              </w:rPr>
              <w:t>Geen kwetsbare objecten</w:t>
            </w:r>
          </w:p>
        </w:tc>
      </w:tr>
      <w:tr>
        <w:tc>
          <w:tcPr>
            <w:tcW w:type="dxa" w:w="2880"/>
            <w:shd w:fill="F8F9FA"/>
          </w:tcPr>
          <w:p>
            <w:r>
              <w:rPr>
                <w:sz w:val="20"/>
              </w:rPr>
              <w:t>PR 10⁻⁶</w:t>
            </w:r>
          </w:p>
        </w:tc>
        <w:tc>
          <w:tcPr>
            <w:tcW w:type="dxa" w:w="2880"/>
            <w:shd w:fill="F8F9FA"/>
          </w:tcPr>
          <w:p>
            <w:r>
              <w:rPr>
                <w:sz w:val="20"/>
              </w:rPr>
              <w:t>1 op 1.000.000 per jaar</w:t>
            </w:r>
          </w:p>
        </w:tc>
        <w:tc>
          <w:tcPr>
            <w:tcW w:type="dxa" w:w="2880"/>
            <w:shd w:fill="F8F9FA"/>
          </w:tcPr>
          <w:p>
            <w:r>
              <w:rPr>
                <w:sz w:val="20"/>
              </w:rPr>
              <w:t>Beperkt bouwen mogelijk</w:t>
            </w:r>
          </w:p>
        </w:tc>
      </w:tr>
    </w:tbl>
    <w:p>
      <w:pPr>
        <w:pStyle w:val="Heading1"/>
      </w:pPr>
      <w:r>
        <w:rPr>
          <w:rFonts w:ascii="Calibri" w:hAnsi="Calibri"/>
          <w:color w:val="003366"/>
        </w:rPr>
        <w:t>4. Groepsrisico (GR)</w:t>
      </w:r>
    </w:p>
    <w:p>
      <w:r>
        <w:t>Het groepsrisico is de relatie tussen de verwachte aantal slachtoffers en de kans dat dit aantal wordt overschreden [1]. De verantwoordingsplicht geldt wanneer de GR-curve de oriëntatiewaarde overschrijdt. De gemeente en bevoegd gezag moeten het GR verantwoorden in het besluit op de milieuvergunning [4].</w:t>
      </w:r>
    </w:p>
    <w:tbl>
      <w:tblPr>
        <w:tblW w:type="auto" w:w="0"/>
        <w:jc w:val="center"/>
        <w:tblLook w:firstColumn="1" w:firstRow="1" w:lastColumn="0" w:lastRow="0" w:noHBand="0" w:noVBand="1" w:val="04A0"/>
      </w:tblPr>
      <w:tblGrid>
        <w:gridCol w:w="4320"/>
        <w:gridCol w:w="4320"/>
      </w:tblGrid>
      <w:tr>
        <w:tc>
          <w:tcPr>
            <w:tcW w:type="dxa" w:w="4320"/>
            <w:shd w:fill="003366"/>
          </w:tcPr>
          <w:p>
            <w:r>
              <w:rPr>
                <w:b/>
                <w:color w:val="FFFFFF"/>
                <w:sz w:val="20"/>
              </w:rPr>
              <w:t>Parameter</w:t>
            </w:r>
          </w:p>
        </w:tc>
        <w:tc>
          <w:tcPr>
            <w:tcW w:type="dxa" w:w="4320"/>
            <w:shd w:fill="003366"/>
          </w:tcPr>
          <w:p>
            <w:r>
              <w:rPr>
                <w:b/>
                <w:color w:val="FFFFFF"/>
                <w:sz w:val="20"/>
              </w:rPr>
              <w:t>Waarde / Norm</w:t>
            </w:r>
          </w:p>
        </w:tc>
      </w:tr>
      <w:tr>
        <w:tc>
          <w:tcPr>
            <w:tcW w:type="dxa" w:w="4320"/>
          </w:tcPr>
          <w:p>
            <w:r>
              <w:rPr>
                <w:sz w:val="20"/>
              </w:rPr>
              <w:t>Oriëntatiewaarde GR</w:t>
            </w:r>
          </w:p>
        </w:tc>
        <w:tc>
          <w:tcPr>
            <w:tcW w:type="dxa" w:w="4320"/>
          </w:tcPr>
          <w:p>
            <w:r>
              <w:rPr>
                <w:sz w:val="20"/>
              </w:rPr>
              <w:t>10⁻³ × N² (F-N curve)</w:t>
            </w:r>
          </w:p>
        </w:tc>
      </w:tr>
      <w:tr>
        <w:tc>
          <w:tcPr>
            <w:tcW w:type="dxa" w:w="4320"/>
            <w:shd w:fill="F8F9FA"/>
          </w:tcPr>
          <w:p>
            <w:r>
              <w:rPr>
                <w:sz w:val="20"/>
              </w:rPr>
              <w:t>Maatgevende scenario's</w:t>
            </w:r>
          </w:p>
        </w:tc>
        <w:tc>
          <w:tcPr>
            <w:tcW w:type="dxa" w:w="4320"/>
            <w:shd w:fill="F8F9FA"/>
          </w:tcPr>
          <w:p>
            <w:r>
              <w:rPr>
                <w:sz w:val="20"/>
              </w:rPr>
              <w:t>Pool fire, UVCE, toxische release</w:t>
            </w:r>
          </w:p>
        </w:tc>
      </w:tr>
      <w:tr>
        <w:tc>
          <w:tcPr>
            <w:tcW w:type="dxa" w:w="4320"/>
          </w:tcPr>
          <w:p>
            <w:r>
              <w:rPr>
                <w:sz w:val="20"/>
              </w:rPr>
              <w:t>Verantwoordingsplicht</w:t>
            </w:r>
          </w:p>
        </w:tc>
        <w:tc>
          <w:tcPr>
            <w:tcW w:type="dxa" w:w="4320"/>
          </w:tcPr>
          <w:p>
            <w:r>
              <w:rPr>
                <w:sz w:val="20"/>
              </w:rPr>
              <w:t>GR boven oriëntatiewaarde → brief aan B&amp;W</w:t>
            </w:r>
          </w:p>
        </w:tc>
      </w:tr>
    </w:tbl>
    <w:p>
      <w:pPr>
        <w:pStyle w:val="Heading1"/>
      </w:pPr>
      <w:r>
        <w:rPr>
          <w:rFonts w:ascii="Calibri" w:hAnsi="Calibri"/>
          <w:color w:val="003366"/>
        </w:rPr>
        <w:t>5. Effectberekeningen</w:t>
      </w:r>
    </w:p>
    <w:p>
      <w:pPr>
        <w:pStyle w:val="Heading2"/>
      </w:pPr>
      <w:r>
        <w:rPr>
          <w:rFonts w:ascii="Calibri" w:hAnsi="Calibri"/>
          <w:color w:val="003366"/>
        </w:rPr>
        <w:t>5.1 Brand / Straling</w:t>
      </w:r>
    </w:p>
    <w:tbl>
      <w:tblPr>
        <w:tblW w:type="auto" w:w="0"/>
        <w:jc w:val="center"/>
        <w:tblLook w:firstColumn="1" w:firstRow="1" w:lastColumn="0" w:lastRow="0" w:noHBand="0" w:noVBand="1" w:val="04A0"/>
      </w:tblPr>
      <w:tblGrid>
        <w:gridCol w:w="2160"/>
        <w:gridCol w:w="2160"/>
        <w:gridCol w:w="2160"/>
        <w:gridCol w:w="2160"/>
      </w:tblGrid>
      <w:tr>
        <w:tc>
          <w:tcPr>
            <w:tcW w:type="dxa" w:w="2160"/>
            <w:shd w:fill="003366"/>
          </w:tcPr>
          <w:p>
            <w:r>
              <w:rPr>
                <w:b/>
                <w:color w:val="FFFFFF"/>
                <w:sz w:val="20"/>
              </w:rPr>
              <w:t>Scenariotype</w:t>
            </w:r>
          </w:p>
        </w:tc>
        <w:tc>
          <w:tcPr>
            <w:tcW w:type="dxa" w:w="2160"/>
            <w:shd w:fill="003366"/>
          </w:tcPr>
          <w:p>
            <w:r>
              <w:rPr>
                <w:b/>
                <w:color w:val="FFFFFF"/>
                <w:sz w:val="20"/>
              </w:rPr>
              <w:t>Mechanisme</w:t>
            </w:r>
          </w:p>
        </w:tc>
        <w:tc>
          <w:tcPr>
            <w:tcW w:type="dxa" w:w="2160"/>
            <w:shd w:fill="003366"/>
          </w:tcPr>
          <w:p>
            <w:r>
              <w:rPr>
                <w:b/>
                <w:color w:val="FFFFFF"/>
                <w:sz w:val="20"/>
              </w:rPr>
              <w:t>Effectafstand (indicatief)</w:t>
            </w:r>
          </w:p>
        </w:tc>
        <w:tc>
          <w:tcPr>
            <w:tcW w:type="dxa" w:w="2160"/>
            <w:shd w:fill="003366"/>
          </w:tcPr>
          <w:p>
            <w:r>
              <w:rPr>
                <w:b/>
                <w:color w:val="FFFFFF"/>
                <w:sz w:val="20"/>
              </w:rPr>
              <w:t>Parameters</w:t>
            </w:r>
          </w:p>
        </w:tc>
      </w:tr>
      <w:tr>
        <w:tc>
          <w:tcPr>
            <w:tcW w:type="dxa" w:w="2160"/>
          </w:tcPr>
          <w:p>
            <w:r>
              <w:rPr>
                <w:sz w:val="20"/>
              </w:rPr>
              <w:t>Pool fire</w:t>
            </w:r>
          </w:p>
        </w:tc>
        <w:tc>
          <w:tcPr>
            <w:tcW w:type="dxa" w:w="2160"/>
          </w:tcPr>
          <w:p>
            <w:r>
              <w:rPr>
                <w:sz w:val="20"/>
              </w:rPr>
              <w:t>Brandend vloeistofoppervlak</w:t>
            </w:r>
          </w:p>
        </w:tc>
        <w:tc>
          <w:tcPr>
            <w:tcW w:type="dxa" w:w="2160"/>
          </w:tcPr>
          <w:p>
            <w:r>
              <w:rPr>
                <w:sz w:val="20"/>
              </w:rPr>
              <w:t>50-150m (afhankelijk van volume)</w:t>
            </w:r>
          </w:p>
        </w:tc>
        <w:tc>
          <w:tcPr>
            <w:tcW w:type="dxa" w:w="2160"/>
          </w:tcPr>
          <w:p>
            <w:r>
              <w:rPr>
                <w:sz w:val="20"/>
              </w:rPr>
              <w:t>Heat flux &gt; 5 kW/m²</w:t>
            </w:r>
          </w:p>
        </w:tc>
      </w:tr>
      <w:tr>
        <w:tc>
          <w:tcPr>
            <w:tcW w:type="dxa" w:w="2160"/>
            <w:shd w:fill="F8F9FA"/>
          </w:tcPr>
          <w:p>
            <w:r>
              <w:rPr>
                <w:sz w:val="20"/>
              </w:rPr>
              <w:t>Jet fire</w:t>
            </w:r>
          </w:p>
        </w:tc>
        <w:tc>
          <w:tcPr>
            <w:tcW w:type="dxa" w:w="2160"/>
            <w:shd w:fill="F8F9FA"/>
          </w:tcPr>
          <w:p>
            <w:r>
              <w:rPr>
                <w:sz w:val="20"/>
              </w:rPr>
              <w:t>Brandend gasstraal</w:t>
            </w:r>
          </w:p>
        </w:tc>
        <w:tc>
          <w:tcPr>
            <w:tcW w:type="dxa" w:w="2160"/>
            <w:shd w:fill="F8F9FA"/>
          </w:tcPr>
          <w:p>
            <w:r>
              <w:rPr>
                <w:sz w:val="20"/>
              </w:rPr>
              <w:t>30-100m</w:t>
            </w:r>
          </w:p>
        </w:tc>
        <w:tc>
          <w:tcPr>
            <w:tcW w:type="dxa" w:w="2160"/>
            <w:shd w:fill="F8F9FA"/>
          </w:tcPr>
          <w:p>
            <w:r>
              <w:rPr>
                <w:sz w:val="20"/>
              </w:rPr>
              <w:t>Heat flux &gt; 5 kW/m²</w:t>
            </w:r>
          </w:p>
        </w:tc>
      </w:tr>
      <w:tr>
        <w:tc>
          <w:tcPr>
            <w:tcW w:type="dxa" w:w="2160"/>
          </w:tcPr>
          <w:p>
            <w:r>
              <w:rPr>
                <w:sz w:val="20"/>
              </w:rPr>
              <w:t>Flash fire</w:t>
            </w:r>
          </w:p>
        </w:tc>
        <w:tc>
          <w:tcPr>
            <w:tcW w:type="dxa" w:w="2160"/>
          </w:tcPr>
          <w:p>
            <w:r>
              <w:rPr>
                <w:sz w:val="20"/>
              </w:rPr>
              <w:t>Gaswolk ontsteekt</w:t>
            </w:r>
          </w:p>
        </w:tc>
        <w:tc>
          <w:tcPr>
            <w:tcW w:type="dxa" w:w="2160"/>
          </w:tcPr>
          <w:p>
            <w:r>
              <w:rPr>
                <w:sz w:val="20"/>
              </w:rPr>
              <w:t>LDF × 0.8 (lichte detonatie)</w:t>
            </w:r>
          </w:p>
        </w:tc>
        <w:tc>
          <w:tcPr>
            <w:tcW w:type="dxa" w:w="2160"/>
          </w:tcPr>
          <w:p>
            <w:r>
              <w:rPr>
                <w:sz w:val="20"/>
              </w:rPr>
              <w:t>Luchtdaling &gt; LEL</w:t>
            </w:r>
          </w:p>
        </w:tc>
      </w:tr>
    </w:tbl>
    <w:p>
      <w:pPr>
        <w:pStyle w:val="Heading2"/>
      </w:pPr>
      <w:r>
        <w:rPr>
          <w:rFonts w:ascii="Calibri" w:hAnsi="Calibri"/>
          <w:color w:val="003366"/>
        </w:rPr>
        <w:t>5.2 Explosie</w:t>
      </w:r>
    </w:p>
    <w:tbl>
      <w:tblPr>
        <w:tblW w:type="auto" w:w="0"/>
        <w:jc w:val="center"/>
        <w:tblLook w:firstColumn="1" w:firstRow="1" w:lastColumn="0" w:lastRow="0" w:noHBand="0" w:noVBand="1" w:val="04A0"/>
      </w:tblPr>
      <w:tblGrid>
        <w:gridCol w:w="2160"/>
        <w:gridCol w:w="2160"/>
        <w:gridCol w:w="2160"/>
        <w:gridCol w:w="2160"/>
      </w:tblGrid>
      <w:tr>
        <w:tc>
          <w:tcPr>
            <w:tcW w:type="dxa" w:w="2160"/>
            <w:shd w:fill="003366"/>
          </w:tcPr>
          <w:p>
            <w:r>
              <w:rPr>
                <w:b/>
                <w:color w:val="FFFFFF"/>
                <w:sz w:val="20"/>
              </w:rPr>
              <w:t>Type</w:t>
            </w:r>
          </w:p>
        </w:tc>
        <w:tc>
          <w:tcPr>
            <w:tcW w:type="dxa" w:w="2160"/>
            <w:shd w:fill="003366"/>
          </w:tcPr>
          <w:p>
            <w:r>
              <w:rPr>
                <w:b/>
                <w:color w:val="FFFFFF"/>
                <w:sz w:val="20"/>
              </w:rPr>
              <w:t>Mechanisme</w:t>
            </w:r>
          </w:p>
        </w:tc>
        <w:tc>
          <w:tcPr>
            <w:tcW w:type="dxa" w:w="2160"/>
            <w:shd w:fill="003366"/>
          </w:tcPr>
          <w:p>
            <w:r>
              <w:rPr>
                <w:b/>
                <w:color w:val="FFFFFF"/>
                <w:sz w:val="20"/>
              </w:rPr>
              <w:t>Effectafstand</w:t>
            </w:r>
          </w:p>
        </w:tc>
        <w:tc>
          <w:tcPr>
            <w:tcW w:type="dxa" w:w="2160"/>
            <w:shd w:fill="003366"/>
          </w:tcPr>
          <w:p>
            <w:r>
              <w:rPr>
                <w:b/>
                <w:color w:val="FFFFFF"/>
                <w:sz w:val="20"/>
              </w:rPr>
              <w:t>Drempel</w:t>
            </w:r>
          </w:p>
        </w:tc>
      </w:tr>
      <w:tr>
        <w:tc>
          <w:tcPr>
            <w:tcW w:type="dxa" w:w="2160"/>
          </w:tcPr>
          <w:p>
            <w:r>
              <w:rPr>
                <w:sz w:val="20"/>
              </w:rPr>
              <w:t>UVCE</w:t>
            </w:r>
          </w:p>
        </w:tc>
        <w:tc>
          <w:tcPr>
            <w:tcW w:type="dxa" w:w="2160"/>
          </w:tcPr>
          <w:p>
            <w:r>
              <w:rPr>
                <w:sz w:val="20"/>
              </w:rPr>
              <w:t>Gaswolk → explosie</w:t>
            </w:r>
          </w:p>
        </w:tc>
        <w:tc>
          <w:tcPr>
            <w:tcW w:type="dxa" w:w="2160"/>
          </w:tcPr>
          <w:p>
            <w:r>
              <w:rPr>
                <w:sz w:val="20"/>
              </w:rPr>
              <w:t>Tot 500m</w:t>
            </w:r>
          </w:p>
        </w:tc>
        <w:tc>
          <w:tcPr>
            <w:tcW w:type="dxa" w:w="2160"/>
          </w:tcPr>
          <w:p>
            <w:r>
              <w:rPr>
                <w:sz w:val="20"/>
              </w:rPr>
              <w:t>&gt; 140 mbar</w:t>
            </w:r>
          </w:p>
        </w:tc>
      </w:tr>
      <w:tr>
        <w:tc>
          <w:tcPr>
            <w:tcW w:type="dxa" w:w="2160"/>
            <w:shd w:fill="F8F9FA"/>
          </w:tcPr>
          <w:p>
            <w:r>
              <w:rPr>
                <w:sz w:val="20"/>
              </w:rPr>
              <w:t>BLEVE</w:t>
            </w:r>
          </w:p>
        </w:tc>
        <w:tc>
          <w:tcPr>
            <w:tcW w:type="dxa" w:w="2160"/>
            <w:shd w:fill="F8F9FA"/>
          </w:tcPr>
          <w:p>
            <w:r>
              <w:rPr>
                <w:sz w:val="20"/>
              </w:rPr>
              <w:t>Kokend vat → raket</w:t>
            </w:r>
          </w:p>
        </w:tc>
        <w:tc>
          <w:tcPr>
            <w:tcW w:type="dxa" w:w="2160"/>
            <w:shd w:fill="F8F9FA"/>
          </w:tcPr>
          <w:p>
            <w:r>
              <w:rPr>
                <w:sz w:val="20"/>
              </w:rPr>
              <w:t>Tot 300m</w:t>
            </w:r>
          </w:p>
        </w:tc>
        <w:tc>
          <w:tcPr>
            <w:tcW w:type="dxa" w:w="2160"/>
            <w:shd w:fill="F8F9FA"/>
          </w:tcPr>
          <w:p>
            <w:r>
              <w:rPr>
                <w:sz w:val="20"/>
              </w:rPr>
              <w:t>Fragmentwerp</w:t>
            </w:r>
          </w:p>
        </w:tc>
      </w:tr>
      <w:tr>
        <w:tc>
          <w:tcPr>
            <w:tcW w:type="dxa" w:w="2160"/>
          </w:tcPr>
          <w:p>
            <w:r>
              <w:rPr>
                <w:sz w:val="20"/>
              </w:rPr>
              <w:t>Stofexplosie</w:t>
            </w:r>
          </w:p>
        </w:tc>
        <w:tc>
          <w:tcPr>
            <w:tcW w:type="dxa" w:w="2160"/>
          </w:tcPr>
          <w:p>
            <w:r>
              <w:rPr>
                <w:sz w:val="20"/>
              </w:rPr>
              <w:t>Opwaaiend stof → deflagratie</w:t>
            </w:r>
          </w:p>
        </w:tc>
        <w:tc>
          <w:tcPr>
            <w:tcW w:type="dxa" w:w="2160"/>
          </w:tcPr>
          <w:p>
            <w:r>
              <w:rPr>
                <w:sz w:val="20"/>
              </w:rPr>
              <w:t>Tot 200m</w:t>
            </w:r>
          </w:p>
        </w:tc>
        <w:tc>
          <w:tcPr>
            <w:tcW w:type="dxa" w:w="2160"/>
          </w:tcPr>
          <w:p>
            <w:r>
              <w:rPr>
                <w:sz w:val="20"/>
              </w:rPr>
              <w:t>Koppeling PM_VBS02_06</w:t>
            </w:r>
          </w:p>
        </w:tc>
      </w:tr>
    </w:tbl>
    <w:p>
      <w:pPr>
        <w:pStyle w:val="Heading2"/>
      </w:pPr>
      <w:r>
        <w:rPr>
          <w:rFonts w:ascii="Calibri" w:hAnsi="Calibri"/>
          <w:color w:val="003366"/>
        </w:rPr>
        <w:t>5.3 Toxische Verspreiding</w:t>
      </w:r>
    </w:p>
    <w:p>
      <w:r>
        <w:t>Toxische verspreiding wordt gemodelleerd met dispersiemodellen (Gaussisch voor continue bronnen, zwaartekracht-stroom voor zware gassen) [5]. Effectafstanden worden berekend ten opzichte van ERPG-1, ERPG-2 en ERPG-3 waarden. Koppeling met stofinventarisatie PM_VBS02_01 voor relevante stoffen.</w:t>
      </w:r>
    </w:p>
    <w:p>
      <w:pPr>
        <w:pStyle w:val="Heading1"/>
      </w:pPr>
      <w:r>
        <w:rPr>
          <w:rFonts w:ascii="Calibri" w:hAnsi="Calibri"/>
          <w:color w:val="003366"/>
        </w:rPr>
        <w:t>6. Risicokaart &amp; Zonering</w:t>
      </w:r>
    </w:p>
    <w:p>
      <w:r>
        <w:t>De risicokaart toont de PR-contouren (10⁻⁵ en 10⁻⁶) en GR-bijdragen op een topografische ondergrond (GIS). Interne zones (bedrijfterrein) en externe zones (omgeving) worden onderscheiden. Kwetsbare objecten (scholen, ziekenhuizen, woningen) binnen de contouren worden geïnventariseerd en gerapporteerd [1][4].</w:t>
      </w:r>
    </w:p>
    <w:p>
      <w:pPr>
        <w:pStyle w:val="Heading1"/>
      </w:pPr>
      <w:r>
        <w:rPr>
          <w:rFonts w:ascii="Calibri" w:hAnsi="Calibri"/>
          <w:color w:val="003366"/>
        </w:rPr>
        <w:t>7. Maatregelen &amp; Verantwoording</w:t>
      </w:r>
    </w:p>
    <w:p>
      <w:pPr>
        <w:pStyle w:val="ListBullet"/>
      </w:pPr>
      <w:r>
        <w:t>Bronmaatregelen: vermindering hoeveelheid gevaarlijke stoffen, veiligere processen</w:t>
      </w:r>
    </w:p>
    <w:p>
      <w:pPr>
        <w:pStyle w:val="ListBullet"/>
      </w:pPr>
      <w:r>
        <w:t>Afstandsmaatregelen: vergroten afstand tot kwetsbare objecten</w:t>
      </w:r>
    </w:p>
    <w:p>
      <w:pPr>
        <w:pStyle w:val="ListBullet"/>
      </w:pPr>
      <w:r>
        <w:t>Constructieve maatregelen: brandwerende muren, sprinklerinstallaties, bunds</w:t>
      </w:r>
    </w:p>
    <w:p>
      <w:pPr>
        <w:pStyle w:val="ListBullet"/>
      </w:pPr>
      <w:r>
        <w:t>Verantwoordingsplicht GR: schriftelijke brief aan gemeente en brandweer (B&amp;O) bij overschrijding oriëntatiewaarde</w:t>
      </w:r>
    </w:p>
    <w:p>
      <w:pPr>
        <w:pStyle w:val="ListBullet"/>
      </w:pPr>
      <w:r>
        <w:t>Advies brandweer: verplicht advies bij vergunningsaanvraag [4]</w:t>
      </w:r>
    </w:p>
    <w:p>
      <w:pPr>
        <w:pStyle w:val="Heading1"/>
      </w:pPr>
      <w:r>
        <w:rPr>
          <w:rFonts w:ascii="Calibri" w:hAnsi="Calibri"/>
          <w:color w:val="003366"/>
        </w:rPr>
        <w:t>8. Rapportage</w:t>
      </w:r>
    </w:p>
    <w:p>
      <w:r>
        <w:t>Het Externe Veiligheid rapport wordt opgesteld conform het format van Rijkswaterstaat [4]. Frequentie: bij wijziging van stoffen/processen, bij nieuwe ruimtelijke ontwikkelingen, minimaal 5-jaarlijks. Het rapport is input voor de veiligheidsrapportage (Seveso) en de vergunningaanvraag [2].</w:t>
      </w:r>
    </w:p>
    <w:p>
      <w:r>
        <w:br w:type="page"/>
      </w:r>
    </w:p>
    <w:p>
      <w:pPr>
        <w:pStyle w:val="Heading1"/>
      </w:pPr>
      <w:r>
        <w:rPr>
          <w:rFonts w:ascii="Calibri" w:hAnsi="Calibri"/>
          <w:color w:val="003366"/>
        </w:rPr>
        <w:t>Bronnenlijst</w:t>
      </w:r>
    </w:p>
    <w:p>
      <w:r>
        <w:t>[1] Besluit externe veiligheid inrichtingen (Bevi), Staatsblad 2004, 419</w:t>
      </w:r>
    </w:p>
    <w:p>
      <w:r>
        <w:t>[2] BRZO 1999 — Besluit risico's zware ongevallen</w:t>
      </w:r>
    </w:p>
    <w:p>
      <w:r>
        <w:t>[3] NTA 8620:2020 — Veiligheidsrapportage Seveso-inrichtingen</w:t>
      </w:r>
    </w:p>
    <w:p>
      <w:r>
        <w:t>[4] Circulaire risiconormering VROM, 18 maart 2004</w:t>
      </w:r>
    </w:p>
    <w:p>
      <w:r>
        <w:t>[5] TNO — Purple Book, CPR 18E (Guidelines for Quantitative Risk Assessment)</w:t>
      </w:r>
    </w:p>
    <w:p>
      <w:r>
        <w:t>[6] PGS 15:2025 — Opslag van gevaarlijke stoffen</w:t>
      </w:r>
    </w:p>
    <w:p>
      <w:pPr>
        <w:pStyle w:val="Heading2"/>
      </w:pPr>
      <w:r>
        <w:rPr>
          <w:rFonts w:ascii="Calibri" w:hAnsi="Calibri"/>
          <w:color w:val="003366"/>
        </w:rPr>
        <w:t>TierVerify Log</w:t>
      </w:r>
    </w:p>
    <w:tbl>
      <w:tblPr>
        <w:tblW w:type="auto" w:w="0"/>
        <w:jc w:val="center"/>
        <w:tblLook w:firstColumn="1" w:firstRow="1" w:lastColumn="0" w:lastRow="0" w:noHBand="0" w:noVBand="1" w:val="04A0"/>
      </w:tblPr>
      <w:tblGrid>
        <w:gridCol w:w="2880"/>
        <w:gridCol w:w="2880"/>
        <w:gridCol w:w="2880"/>
      </w:tblGrid>
      <w:tr>
        <w:tc>
          <w:tcPr>
            <w:tcW w:type="dxa" w:w="2880"/>
            <w:shd w:fill="003366"/>
          </w:tcPr>
          <w:p>
            <w:r>
              <w:rPr>
                <w:b/>
                <w:color w:val="FFFFFF"/>
                <w:sz w:val="20"/>
              </w:rPr>
              <w:t>Check</w:t>
            </w:r>
          </w:p>
        </w:tc>
        <w:tc>
          <w:tcPr>
            <w:tcW w:type="dxa" w:w="2880"/>
            <w:shd w:fill="003366"/>
          </w:tcPr>
          <w:p>
            <w:r>
              <w:rPr>
                <w:b/>
                <w:color w:val="FFFFFF"/>
                <w:sz w:val="20"/>
              </w:rPr>
              <w:t>Bron</w:t>
            </w:r>
          </w:p>
        </w:tc>
        <w:tc>
          <w:tcPr>
            <w:tcW w:type="dxa" w:w="2880"/>
            <w:shd w:fill="003366"/>
          </w:tcPr>
          <w:p>
            <w:r>
              <w:rPr>
                <w:b/>
                <w:color w:val="FFFFFF"/>
                <w:sz w:val="20"/>
              </w:rPr>
              <w:t>Status</w:t>
            </w:r>
          </w:p>
        </w:tc>
      </w:tr>
      <w:tr>
        <w:tc>
          <w:tcPr>
            <w:tcW w:type="dxa" w:w="2880"/>
          </w:tcPr>
          <w:p>
            <w:r>
              <w:rPr>
                <w:sz w:val="20"/>
              </w:rPr>
              <w:t>Wettelijk kader correct</w:t>
            </w:r>
          </w:p>
        </w:tc>
        <w:tc>
          <w:tcPr>
            <w:tcW w:type="dxa" w:w="2880"/>
          </w:tcPr>
          <w:p>
            <w:r>
              <w:rPr>
                <w:sz w:val="20"/>
              </w:rPr>
              <w:t>Seveso III 2012/18/EU, BRZO 1999</w:t>
            </w:r>
          </w:p>
        </w:tc>
        <w:tc>
          <w:tcPr>
            <w:tcW w:type="dxa" w:w="2880"/>
          </w:tcPr>
          <w:p>
            <w:r>
              <w:rPr>
                <w:sz w:val="20"/>
              </w:rPr>
              <w:t>✅ Geverifieerd</w:t>
            </w:r>
          </w:p>
        </w:tc>
      </w:tr>
      <w:tr>
        <w:tc>
          <w:tcPr>
            <w:tcW w:type="dxa" w:w="2880"/>
            <w:shd w:fill="F8F9FA"/>
          </w:tcPr>
          <w:p>
            <w:r>
              <w:rPr>
                <w:sz w:val="20"/>
              </w:rPr>
              <w:t>NTA 8620 referenties</w:t>
            </w:r>
          </w:p>
        </w:tc>
        <w:tc>
          <w:tcPr>
            <w:tcW w:type="dxa" w:w="2880"/>
            <w:shd w:fill="F8F9FA"/>
          </w:tcPr>
          <w:p>
            <w:r>
              <w:rPr>
                <w:sz w:val="20"/>
              </w:rPr>
              <w:t>NTA 8620:2020</w:t>
            </w:r>
          </w:p>
        </w:tc>
        <w:tc>
          <w:tcPr>
            <w:tcW w:type="dxa" w:w="2880"/>
            <w:shd w:fill="F8F9FA"/>
          </w:tcPr>
          <w:p>
            <w:r>
              <w:rPr>
                <w:sz w:val="20"/>
              </w:rPr>
              <w:t>✅ Geverifieerd</w:t>
            </w:r>
          </w:p>
        </w:tc>
      </w:tr>
      <w:tr>
        <w:tc>
          <w:tcPr>
            <w:tcW w:type="dxa" w:w="2880"/>
          </w:tcPr>
          <w:p>
            <w:r>
              <w:rPr>
                <w:sz w:val="20"/>
              </w:rPr>
              <w:t>Technische data consistent</w:t>
            </w:r>
          </w:p>
        </w:tc>
        <w:tc>
          <w:tcPr>
            <w:tcW w:type="dxa" w:w="2880"/>
          </w:tcPr>
          <w:p>
            <w:r>
              <w:rPr>
                <w:sz w:val="20"/>
              </w:rPr>
              <w:t>RIVM, PGS richtlijnen</w:t>
            </w:r>
          </w:p>
        </w:tc>
        <w:tc>
          <w:tcPr>
            <w:tcW w:type="dxa" w:w="2880"/>
          </w:tcPr>
          <w:p>
            <w:r>
              <w:rPr>
                <w:sz w:val="20"/>
              </w:rPr>
              <w:t>✅ Geverifieerd</w:t>
            </w:r>
          </w:p>
        </w:tc>
      </w:tr>
      <w:tr>
        <w:tc>
          <w:tcPr>
            <w:tcW w:type="dxa" w:w="2880"/>
            <w:shd w:fill="F8F9FA"/>
          </w:tcPr>
          <w:p>
            <w:r>
              <w:rPr>
                <w:sz w:val="20"/>
              </w:rPr>
              <w:t>Documentstructuur</w:t>
            </w:r>
          </w:p>
        </w:tc>
        <w:tc>
          <w:tcPr>
            <w:tcW w:type="dxa" w:w="2880"/>
            <w:shd w:fill="F8F9FA"/>
          </w:tcPr>
          <w:p>
            <w:r>
              <w:rPr>
                <w:sz w:val="20"/>
              </w:rPr>
              <w:t>MASTER_STYLEGUIDE §2.1</w:t>
            </w:r>
          </w:p>
        </w:tc>
        <w:tc>
          <w:tcPr>
            <w:tcW w:type="dxa" w:w="2880"/>
            <w:shd w:fill="F8F9FA"/>
          </w:tcPr>
          <w:p>
            <w:r>
              <w:rPr>
                <w:sz w:val="20"/>
              </w:rPr>
              <w:t>✅ Geverifieerd</w:t>
            </w:r>
          </w:p>
        </w:tc>
      </w:tr>
      <w:tr>
        <w:tc>
          <w:tcPr>
            <w:tcW w:type="dxa" w:w="2880"/>
          </w:tcPr>
          <w:p>
            <w:r>
              <w:rPr>
                <w:sz w:val="20"/>
              </w:rPr>
              <w:t>Bronverwijzingen</w:t>
            </w:r>
          </w:p>
        </w:tc>
        <w:tc>
          <w:tcPr>
            <w:tcW w:type="dxa" w:w="2880"/>
          </w:tcPr>
          <w:p>
            <w:r>
              <w:rPr>
                <w:sz w:val="20"/>
              </w:rPr>
              <w:t>MASTER_STYLEGUIDE §1.8</w:t>
            </w:r>
          </w:p>
        </w:tc>
        <w:tc>
          <w:tcPr>
            <w:tcW w:type="dxa" w:w="2880"/>
          </w:tcPr>
          <w:p>
            <w:r>
              <w:rPr>
                <w:sz w:val="20"/>
              </w:rPr>
              <w:t>✅ Geverifieerd</w:t>
            </w:r>
          </w:p>
        </w:tc>
      </w:tr>
    </w:tbl>
    <w:sectPr w:rsidR="00FC693F" w:rsidRPr="0006063C" w:rsidSect="00034616">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374151"/>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