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72000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jvg-logo-white-medium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Title"/>
      </w:pPr>
      <w:r>
        <w:rPr>
          <w:rFonts w:ascii="Calibri" w:hAnsi="Calibri"/>
          <w:color w:val="003366"/>
        </w:rPr>
        <w:t>Domino-effecten Analyse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  <w:sz w:val="20"/>
              </w:rPr>
              <w:t>Project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Phoenix Metals — VBS Element 2: Identificatie &amp; Beoordeling van Gevaren</w:t>
            </w:r>
          </w:p>
        </w:tc>
      </w:tr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  <w:sz w:val="20"/>
              </w:rPr>
              <w:t>Type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Rapport — BRZO III / NTA 8620 par. 7.2.4</w:t>
            </w:r>
          </w:p>
        </w:tc>
      </w:tr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  <w:sz w:val="20"/>
              </w:rPr>
              <w:t>Auteur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HSEQ Specialist — JvG Consultancy</w:t>
            </w:r>
          </w:p>
        </w:tc>
      </w:tr>
      <w:tr>
        <w:tc>
          <w:tcPr>
            <w:tcW w:type="dxa" w:w="4320"/>
            <w:shd w:fill="003366"/>
          </w:tcPr>
          <w:p>
            <w:r>
              <w:rPr>
                <w:b/>
                <w:color w:val="FFFFFF"/>
                <w:sz w:val="20"/>
              </w:rPr>
              <w:t>Versie / Datum</w:t>
            </w:r>
          </w:p>
        </w:tc>
        <w:tc>
          <w:tcPr>
            <w:tcW w:type="dxa" w:w="4320"/>
          </w:tcPr>
          <w:p>
            <w:r>
              <w:rPr>
                <w:sz w:val="20"/>
              </w:rPr>
              <w:t>v1.0 / 2026-04-29 — Draft</w:t>
            </w:r>
          </w:p>
        </w:tc>
      </w:tr>
    </w:tbl>
    <w:p>
      <w:r>
        <w:br w:type="page"/>
      </w:r>
    </w:p>
    <w:p>
      <w:pPr>
        <w:pStyle w:val="Heading2"/>
      </w:pPr>
      <w:r>
        <w:rPr>
          <w:rFonts w:ascii="Calibri" w:hAnsi="Calibri"/>
          <w:color w:val="003366"/>
        </w:rPr>
        <w:t>Inhoudsopgave</w:t>
      </w:r>
    </w:p>
    <w:p>
      <w:pPr>
        <w:pStyle w:val="ListNumber"/>
      </w:pPr>
      <w:r>
        <w:t>1. Inleiding</w:t>
      </w:r>
    </w:p>
    <w:p>
      <w:pPr>
        <w:pStyle w:val="ListNumber"/>
      </w:pPr>
      <w:r>
        <w:t>2. Wettelijk Kader</w:t>
      </w:r>
    </w:p>
    <w:p>
      <w:pPr>
        <w:pStyle w:val="ListNumber"/>
      </w:pPr>
      <w:r>
        <w:t>3. Definitie Domino-effecten</w:t>
      </w:r>
    </w:p>
    <w:p>
      <w:pPr>
        <w:pStyle w:val="ListNumber"/>
      </w:pPr>
      <w:r>
        <w:t>4. Identificatiemethode</w:t>
      </w:r>
    </w:p>
    <w:p>
      <w:pPr>
        <w:pStyle w:val="ListNumber"/>
      </w:pPr>
      <w:r>
        <w:t>5. Risicobeoordeling Domino-effecten</w:t>
      </w:r>
    </w:p>
    <w:p>
      <w:pPr>
        <w:pStyle w:val="ListNumber"/>
      </w:pPr>
      <w:r>
        <w:t>6. Maatregelen</w:t>
      </w:r>
    </w:p>
    <w:p>
      <w:pPr>
        <w:pStyle w:val="ListNumber"/>
      </w:pPr>
      <w:r>
        <w:t>7. Informatie-uitwisseling</w:t>
      </w:r>
    </w:p>
    <w:p>
      <w:pPr>
        <w:pStyle w:val="ListNumber"/>
      </w:pPr>
      <w:r>
        <w:t>8. Rapportage &amp; Documentatie</w:t>
      </w:r>
    </w:p>
    <w:p>
      <w:pPr>
        <w:pStyle w:val="ListNumber"/>
      </w:pPr>
      <w:r>
        <w:t>Bronnenlijst</w:t>
      </w:r>
    </w:p>
    <w:p>
      <w:pPr>
        <w:pStyle w:val="ListNumber"/>
      </w:pPr>
      <w:r>
        <w:t>TierVerify Log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1. Inleiding</w:t>
      </w:r>
    </w:p>
    <w:p>
      <w:r>
        <w:t>Dit document beschrijft de analyse van domino-effecten voor de Phoenix Metals inrichting te IJmuiden, conform de verplichtingen uit Seveso III richtlijn 2012/18/EU artikel 12(1), NTA 8620 paragraaf 7.2.4 en het BRZO 1999 bijlage II [1][2][3]. Domino-effecten ontstaan wanneer een incident in één inrichting leidt tot een ketenreactie bij naburige inrichtingen, waardoor de impact aanzienlijk kan toenemen.</w:t>
      </w:r>
    </w:p>
    <w:p>
      <w:pPr>
        <w:pStyle w:val="Heading1"/>
      </w:pPr>
      <w:r>
        <w:rPr>
          <w:rFonts w:ascii="Calibri" w:hAnsi="Calibri"/>
          <w:color w:val="003366"/>
        </w:rPr>
        <w:t>2. Wettelijk Kader</w:t>
      </w:r>
    </w:p>
    <w:p>
      <w:r>
        <w:t>De Seveso III richtlijn verplicht BRZO-inrichtingen om domino-effecten te identificeren en te beoordelen [1]. Het BRZO 1999 artikel 17 vereist uitwisseling van informatie met naburige Seveso-inrichtingen [2]. Het bevoegd gezag (Drentve) heeft de rol om domino-effecten te beoordelen en maatregelen op te leggen [3]. NTA 8620 par. 7.2.4 specificeert de methodiek voor identificatie en beoordeling [2].</w:t>
      </w:r>
    </w:p>
    <w:p>
      <w:pPr>
        <w:pStyle w:val="Heading1"/>
      </w:pPr>
      <w:r>
        <w:rPr>
          <w:rFonts w:ascii="Calibri" w:hAnsi="Calibri"/>
          <w:color w:val="003366"/>
        </w:rPr>
        <w:t>3. Definitie Domino-effecten</w:t>
      </w:r>
    </w:p>
    <w:p>
      <w:r>
        <w:t>Domino-effecten zijn ketenreacties waarbij een primair incident in één installatie leidt tot secundaire incidenten in naburige installaties of inrichtingen [1][4]. De drie hoofdtypen zijn: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b/>
                <w:color w:val="FFFFFF"/>
                <w:sz w:val="20"/>
              </w:rPr>
              <w:t>Type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  <w:sz w:val="20"/>
              </w:rPr>
              <w:t>Mechanisme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  <w:sz w:val="20"/>
              </w:rPr>
              <w:t>Voorbeeld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Thermische straling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Brand → hitte → buurinstallatie ontsteekt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Pool fire → brandend buurtank</w:t>
            </w:r>
          </w:p>
        </w:tc>
      </w:tr>
      <w:tr>
        <w:tc>
          <w:tcPr>
            <w:tcW w:type="dxa" w:w="2880"/>
            <w:shd w:fill="F8F9FA"/>
          </w:tcPr>
          <w:p>
            <w:r>
              <w:rPr>
                <w:sz w:val="20"/>
              </w:rPr>
              <w:t>Overdruk (explosie)</w:t>
            </w:r>
          </w:p>
        </w:tc>
        <w:tc>
          <w:tcPr>
            <w:tcW w:type="dxa" w:w="2880"/>
            <w:shd w:fill="F8F9FA"/>
          </w:tcPr>
          <w:p>
            <w:r>
              <w:rPr>
                <w:sz w:val="20"/>
              </w:rPr>
              <w:t>Explosie → drukgolf → structureel falen buur</w:t>
            </w:r>
          </w:p>
        </w:tc>
        <w:tc>
          <w:tcPr>
            <w:tcW w:type="dxa" w:w="2880"/>
            <w:shd w:fill="F8F9FA"/>
          </w:tcPr>
          <w:p>
            <w:r>
              <w:rPr>
                <w:sz w:val="20"/>
              </w:rPr>
              <w:t>UVCE → bezwijken opslagtank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Toxische verspreiding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Toxic cloud → blootstelling buurpersoneel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Chloorlek → evacuatie buurbedrijf</w:t>
            </w:r>
          </w:p>
        </w:tc>
      </w:tr>
    </w:tbl>
    <w:p>
      <w:pPr>
        <w:pStyle w:val="Heading1"/>
      </w:pPr>
      <w:r>
        <w:rPr>
          <w:rFonts w:ascii="Calibri" w:hAnsi="Calibri"/>
          <w:color w:val="003366"/>
        </w:rPr>
        <w:t>4. Identificatiemethode</w:t>
      </w:r>
    </w:p>
    <w:p>
      <w:pPr>
        <w:pStyle w:val="Heading2"/>
      </w:pPr>
      <w:r>
        <w:rPr>
          <w:rFonts w:ascii="Calibri" w:hAnsi="Calibri"/>
          <w:color w:val="003366"/>
        </w:rPr>
        <w:t>4.1 Screening</w:t>
      </w:r>
    </w:p>
    <w:p>
      <w:r>
        <w:t>De identificatie begint met een screening van naburige inrichtingen binnen een straal van 1.000 meter [4]. Per buurbedrijf worden geregistreerd: bedrijfsnaam, Seveso-classificatie, aanwezige gevaarlijke stoffen, hoeveelheden en afstand tot Phoenix Metals.</w:t>
      </w:r>
    </w:p>
    <w:p>
      <w:pPr>
        <w:pStyle w:val="Heading2"/>
      </w:pPr>
      <w:r>
        <w:rPr>
          <w:rFonts w:ascii="Calibri" w:hAnsi="Calibri"/>
          <w:color w:val="003366"/>
        </w:rPr>
        <w:t>4.2 Effectberekeningen</w:t>
      </w:r>
    </w:p>
    <w:p>
      <w:r>
        <w:t>Voor relevante bron-ontvangstpaar worden vereenvoudigde effectberekeningen uitgevoerd [5]: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  <w:shd w:fill="003366"/>
          </w:tcPr>
          <w:p>
            <w:r>
              <w:rPr>
                <w:b/>
                <w:color w:val="FFFFFF"/>
                <w:sz w:val="20"/>
              </w:rPr>
              <w:t>Effecttype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  <w:sz w:val="20"/>
              </w:rPr>
              <w:t>Parameter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  <w:sz w:val="20"/>
              </w:rPr>
              <w:t>Drempelwaarde</w:t>
            </w:r>
          </w:p>
        </w:tc>
        <w:tc>
          <w:tcPr>
            <w:tcW w:type="dxa" w:w="2160"/>
            <w:shd w:fill="003366"/>
          </w:tcPr>
          <w:p>
            <w:r>
              <w:rPr>
                <w:b/>
                <w:color w:val="FFFFFF"/>
                <w:sz w:val="20"/>
              </w:rPr>
              <w:t>Methode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Thermische straling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Heat flux (kW/m²)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≥ 5 kW/m² op buur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TNO Yellow Book / EFFECTS</w:t>
            </w:r>
          </w:p>
        </w:tc>
      </w:tr>
      <w:tr>
        <w:tc>
          <w:tcPr>
            <w:tcW w:type="dxa" w:w="2160"/>
            <w:shd w:fill="F8F9FA"/>
          </w:tcPr>
          <w:p>
            <w:r>
              <w:rPr>
                <w:sz w:val="20"/>
              </w:rPr>
              <w:t>Overdruk</w:t>
            </w:r>
          </w:p>
        </w:tc>
        <w:tc>
          <w:tcPr>
            <w:tcW w:type="dxa" w:w="2160"/>
            <w:shd w:fill="F8F9FA"/>
          </w:tcPr>
          <w:p>
            <w:r>
              <w:rPr>
                <w:sz w:val="20"/>
              </w:rPr>
              <w:t>Peak overpressure (mbar)</w:t>
            </w:r>
          </w:p>
        </w:tc>
        <w:tc>
          <w:tcPr>
            <w:tcW w:type="dxa" w:w="2160"/>
            <w:shd w:fill="F8F9FA"/>
          </w:tcPr>
          <w:p>
            <w:r>
              <w:rPr>
                <w:sz w:val="20"/>
              </w:rPr>
              <w:t>≥ 140 mbar op buur</w:t>
            </w:r>
          </w:p>
        </w:tc>
        <w:tc>
          <w:tcPr>
            <w:tcW w:type="dxa" w:w="2160"/>
            <w:shd w:fill="F8F9FA"/>
          </w:tcPr>
          <w:p>
            <w:r>
              <w:rPr>
                <w:sz w:val="20"/>
              </w:rPr>
              <w:t>TNO multi-energy methode</w:t>
            </w:r>
          </w:p>
        </w:tc>
      </w:tr>
      <w:tr>
        <w:tc>
          <w:tcPr>
            <w:tcW w:type="dxa" w:w="2160"/>
          </w:tcPr>
          <w:p>
            <w:r>
              <w:rPr>
                <w:sz w:val="20"/>
              </w:rPr>
              <w:t>Toxisch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Concentratie (mg/m³)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&gt; ERPG-2 op buur</w:t>
            </w:r>
          </w:p>
        </w:tc>
        <w:tc>
          <w:tcPr>
            <w:tcW w:type="dxa" w:w="2160"/>
          </w:tcPr>
          <w:p>
            <w:r>
              <w:rPr>
                <w:sz w:val="20"/>
              </w:rPr>
              <w:t>Dispersieberekening (A/B/C/D)</w:t>
            </w:r>
          </w:p>
        </w:tc>
      </w:tr>
    </w:tbl>
    <w:p>
      <w:pPr>
        <w:pStyle w:val="Heading2"/>
      </w:pPr>
      <w:r>
        <w:rPr>
          <w:rFonts w:ascii="Calibri" w:hAnsi="Calibri"/>
          <w:color w:val="003366"/>
        </w:rPr>
        <w:t>4.3 Beoordeling</w:t>
      </w:r>
    </w:p>
    <w:p>
      <w:r>
        <w:t>Als de berekende effecten de drempelwaarden overschrijden, is sprake van een potentieel domino-effect en moet een gedetailleerde analyse worden uitgevoerd [2][4].</w:t>
      </w:r>
    </w:p>
    <w:p>
      <w:pPr>
        <w:pStyle w:val="Heading1"/>
      </w:pPr>
      <w:r>
        <w:rPr>
          <w:rFonts w:ascii="Calibri" w:hAnsi="Calibri"/>
          <w:color w:val="003366"/>
        </w:rPr>
        <w:t>5. Risicobeoordeling Domino-effecten</w:t>
      </w:r>
    </w:p>
    <w:p>
      <w:r>
        <w:t>De risicobeoordeling koppelt de bron-installatie via het effectmechanisme aan de ontvangende installatie. De matrix hieronder structureert deze beoordeling: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984"/>
            <w:shd w:fill="003366"/>
          </w:tcPr>
          <w:p>
            <w:r>
              <w:rPr>
                <w:b/>
                <w:color w:val="FFFFFF"/>
                <w:sz w:val="20"/>
              </w:rPr>
              <w:t>Bron-installatie</w:t>
            </w:r>
          </w:p>
        </w:tc>
        <w:tc>
          <w:tcPr>
            <w:tcW w:type="dxa" w:w="1417"/>
            <w:shd w:fill="003366"/>
          </w:tcPr>
          <w:p>
            <w:r>
              <w:rPr>
                <w:b/>
                <w:color w:val="FFFFFF"/>
                <w:sz w:val="20"/>
              </w:rPr>
              <w:t>Effect</w:t>
            </w:r>
          </w:p>
        </w:tc>
        <w:tc>
          <w:tcPr>
            <w:tcW w:type="dxa" w:w="1701"/>
            <w:shd w:fill="003366"/>
          </w:tcPr>
          <w:p>
            <w:r>
              <w:rPr>
                <w:b/>
                <w:color w:val="FFFFFF"/>
                <w:sz w:val="20"/>
              </w:rPr>
              <w:t>Ontvanger</w:t>
            </w:r>
          </w:p>
        </w:tc>
        <w:tc>
          <w:tcPr>
            <w:tcW w:type="dxa" w:w="1417"/>
            <w:shd w:fill="003366"/>
          </w:tcPr>
          <w:p>
            <w:r>
              <w:rPr>
                <w:b/>
                <w:color w:val="FFFFFF"/>
                <w:sz w:val="20"/>
              </w:rPr>
              <w:t>Impact</w:t>
            </w:r>
          </w:p>
        </w:tc>
        <w:tc>
          <w:tcPr>
            <w:tcW w:type="dxa" w:w="1134"/>
            <w:shd w:fill="003366"/>
          </w:tcPr>
          <w:p>
            <w:r>
              <w:rPr>
                <w:b/>
                <w:color w:val="FFFFFF"/>
                <w:sz w:val="20"/>
              </w:rPr>
              <w:t>Risicoklasse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Opslagtank zwavelzuur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Pool fire / lek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Buurbedrijf A (300m)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Thermisch / toxisch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Laag</w:t>
            </w:r>
          </w:p>
        </w:tc>
      </w:tr>
      <w:tr>
        <w:tc>
          <w:tcPr>
            <w:tcW w:type="dxa" w:w="1984"/>
            <w:shd w:fill="F8F9FA"/>
          </w:tcPr>
          <w:p>
            <w:r>
              <w:rPr>
                <w:sz w:val="20"/>
              </w:rPr>
              <w:t>Vanadium-elektrolyt reactor</w:t>
            </w:r>
          </w:p>
        </w:tc>
        <w:tc>
          <w:tcPr>
            <w:tcW w:type="dxa" w:w="1417"/>
            <w:shd w:fill="F8F9FA"/>
          </w:tcPr>
          <w:p>
            <w:r>
              <w:rPr>
                <w:sz w:val="20"/>
              </w:rPr>
              <w:t>Toxic release</w:t>
            </w:r>
          </w:p>
        </w:tc>
        <w:tc>
          <w:tcPr>
            <w:tcW w:type="dxa" w:w="1701"/>
            <w:shd w:fill="F8F9FA"/>
          </w:tcPr>
          <w:p>
            <w:r>
              <w:rPr>
                <w:sz w:val="20"/>
              </w:rPr>
              <w:t>Buurbedrijf B (150m)</w:t>
            </w:r>
          </w:p>
        </w:tc>
        <w:tc>
          <w:tcPr>
            <w:tcW w:type="dxa" w:w="1417"/>
            <w:shd w:fill="F8F9FA"/>
          </w:tcPr>
          <w:p>
            <w:r>
              <w:rPr>
                <w:sz w:val="20"/>
              </w:rPr>
              <w:t>Toxisch</w:t>
            </w:r>
          </w:p>
        </w:tc>
        <w:tc>
          <w:tcPr>
            <w:tcW w:type="dxa" w:w="1134"/>
            <w:shd w:fill="F8F9FA"/>
          </w:tcPr>
          <w:p>
            <w:r>
              <w:rPr>
                <w:sz w:val="20"/>
              </w:rPr>
              <w:t>Midden</w:t>
            </w:r>
          </w:p>
        </w:tc>
      </w:tr>
      <w:tr>
        <w:tc>
          <w:tcPr>
            <w:tcW w:type="dxa" w:w="1984"/>
          </w:tcPr>
          <w:p>
            <w:r>
              <w:rPr>
                <w:sz w:val="20"/>
              </w:rPr>
              <w:t>Proefinstallatie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Stofexplosie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Buurbedrijf C (500m)</w:t>
            </w:r>
          </w:p>
        </w:tc>
        <w:tc>
          <w:tcPr>
            <w:tcW w:type="dxa" w:w="1417"/>
          </w:tcPr>
          <w:p>
            <w:r>
              <w:rPr>
                <w:sz w:val="20"/>
              </w:rPr>
              <w:t>Overdruk</w:t>
            </w:r>
          </w:p>
        </w:tc>
        <w:tc>
          <w:tcPr>
            <w:tcW w:type="dxa" w:w="1134"/>
          </w:tcPr>
          <w:p>
            <w:r>
              <w:rPr>
                <w:sz w:val="20"/>
              </w:rPr>
              <w:t>Laag</w:t>
            </w:r>
          </w:p>
        </w:tc>
      </w:tr>
    </w:tbl>
    <w:p>
      <w:r>
        <w:t>Koppelingen: De risicoklasses zijn consistent met PM_VBS02_03 (Risicomatrix). De barrières zijn uitgewerkt in PM_VBS02_08 (BowTie Procesveiligheid).</w:t>
      </w:r>
    </w:p>
    <w:p>
      <w:pPr>
        <w:pStyle w:val="Heading1"/>
      </w:pPr>
      <w:r>
        <w:rPr>
          <w:rFonts w:ascii="Calibri" w:hAnsi="Calibri"/>
          <w:color w:val="003366"/>
        </w:rPr>
        <w:t>6. Maatregelen</w:t>
      </w:r>
    </w:p>
    <w:p>
      <w:pPr>
        <w:pStyle w:val="Heading2"/>
      </w:pPr>
      <w:r>
        <w:rPr>
          <w:rFonts w:ascii="Calibri" w:hAnsi="Calibri"/>
          <w:color w:val="003366"/>
        </w:rPr>
        <w:t>6.1 Preventieve Maatregelen</w:t>
      </w:r>
    </w:p>
    <w:p>
      <w:pPr>
        <w:pStyle w:val="ListBullet"/>
      </w:pPr>
      <w:r>
        <w:t>Voldoende interinstallatie-afstand (&gt;30m tussen tanks, conform PGS 15) [6]</w:t>
      </w:r>
    </w:p>
    <w:p>
      <w:pPr>
        <w:pStyle w:val="ListBullet"/>
      </w:pPr>
      <w:r>
        <w:t>Brandwerende constructies tussen installaties (EI60/EI120)</w:t>
      </w:r>
    </w:p>
    <w:p>
      <w:pPr>
        <w:pStyle w:val="ListBullet"/>
      </w:pPr>
      <w:r>
        <w:t>Thermische detectie op kritieke punten (IR-sensoren, lineaire warmtedetectie)</w:t>
      </w:r>
    </w:p>
    <w:p>
      <w:pPr>
        <w:pStyle w:val="ListBullet"/>
      </w:pPr>
      <w:r>
        <w:t>Automatische blusinstallaties (schuim, waterkanon) op opslagtanks</w:t>
      </w:r>
    </w:p>
    <w:p>
      <w:pPr>
        <w:pStyle w:val="ListBullet"/>
      </w:pPr>
      <w:r>
        <w:t>Aardings- en ontladingsmaatregelen (ATEX, koppeling PM_VBS02_06)</w:t>
      </w:r>
    </w:p>
    <w:p>
      <w:pPr>
        <w:pStyle w:val="Heading2"/>
      </w:pPr>
      <w:r>
        <w:rPr>
          <w:rFonts w:ascii="Calibri" w:hAnsi="Calibri"/>
          <w:color w:val="003366"/>
        </w:rPr>
        <w:t>6.2 Reactieve Maatregelen</w:t>
      </w:r>
    </w:p>
    <w:p>
      <w:pPr>
        <w:pStyle w:val="ListBullet"/>
      </w:pPr>
      <w:r>
        <w:t>Gezamenlijk bedrijfsnoodplan met buurbedrijven (koppeling Element 4)</w:t>
      </w:r>
    </w:p>
    <w:p>
      <w:pPr>
        <w:pStyle w:val="ListBullet"/>
      </w:pPr>
      <w:r>
        <w:t>Communicatieprotocollen: directe alarmering bij incident</w:t>
      </w:r>
    </w:p>
    <w:p>
      <w:pPr>
        <w:pStyle w:val="ListBullet"/>
      </w:pPr>
      <w:r>
        <w:t>Oefeningen: minimaal 1x per jaar gezamenlijke noodplanoefening</w:t>
      </w:r>
    </w:p>
    <w:p>
      <w:pPr>
        <w:pStyle w:val="ListBullet"/>
      </w:pPr>
      <w:r>
        <w:t>Faciliteiten voor hulpdiensten: bluswater, absorptiemedium, meeting-points</w:t>
      </w:r>
    </w:p>
    <w:p>
      <w:pPr>
        <w:pStyle w:val="Heading1"/>
      </w:pPr>
      <w:r>
        <w:rPr>
          <w:rFonts w:ascii="Calibri" w:hAnsi="Calibri"/>
          <w:color w:val="003366"/>
        </w:rPr>
        <w:t>7. Informatie-uitwisseling</w:t>
      </w:r>
    </w:p>
    <w:p>
      <w:r>
        <w:t>Het BRZO artikel 17 verplicht tot informatie-uitwisseling met naburige Seveso-inrichtingen [2]. De uitwisseling omvat:</w:t>
      </w:r>
    </w:p>
    <w:p>
      <w:pPr>
        <w:pStyle w:val="ListBullet"/>
      </w:pPr>
      <w:r>
        <w:t>Soorten en hoeveelheden gevaarlijke stoffen</w:t>
      </w:r>
    </w:p>
    <w:p>
      <w:pPr>
        <w:pStyle w:val="ListBullet"/>
      </w:pPr>
      <w:r>
        <w:t>Belangrijkste gevaren en mogelijke effecten</w:t>
      </w:r>
    </w:p>
    <w:p>
      <w:pPr>
        <w:pStyle w:val="ListBullet"/>
      </w:pPr>
      <w:r>
        <w:t>Noodmaatregelen en alarm procedures</w:t>
      </w:r>
    </w:p>
    <w:p>
      <w:pPr>
        <w:pStyle w:val="ListBullet"/>
      </w:pPr>
      <w:r>
        <w:t>Contactgegevens van de veiligheidsfunctionaris</w:t>
      </w:r>
    </w:p>
    <w:p>
      <w:r>
        <w:t>Formaat: Schriftelijk, gestructureerd formulier. Frequentie: Bij wijziging, minimaal 1x per 3 jaar. Vertrouwelijkheid: Bedrijfsgevoelige informatie wordt gemarkeerd en beperkt gedeeld. Koppeling met Element 4 (Bedrijfsnoodplan) voor gezamenlijke procedures.</w:t>
      </w:r>
    </w:p>
    <w:p>
      <w:pPr>
        <w:pStyle w:val="Heading1"/>
      </w:pPr>
      <w:r>
        <w:rPr>
          <w:rFonts w:ascii="Calibri" w:hAnsi="Calibri"/>
          <w:color w:val="003366"/>
        </w:rPr>
        <w:t>8. Rapportage &amp; Documentatie</w:t>
      </w:r>
    </w:p>
    <w:p>
      <w:r>
        <w:t>De domino-effecten analyse wordt gedocumenteerd in het veiligheidsrapport (Element 2). Updates bij: wijziging stoffen/hoeveelheden, nieuwe buurbedrijven, na incidenten, minimaal 5-jaarlijks [1][2].</w:t>
      </w:r>
    </w:p>
    <w:p>
      <w:r>
        <w:br w:type="page"/>
      </w:r>
    </w:p>
    <w:p>
      <w:pPr>
        <w:pStyle w:val="Heading1"/>
      </w:pPr>
      <w:r>
        <w:rPr>
          <w:rFonts w:ascii="Calibri" w:hAnsi="Calibri"/>
          <w:color w:val="003366"/>
        </w:rPr>
        <w:t>Bronnenlijst</w:t>
      </w:r>
    </w:p>
    <w:p>
      <w:r>
        <w:t>[1] Seveso III Richtlijn 2012/18/EU, Artikel 12(1) — Domino-effecten verplichting</w:t>
      </w:r>
    </w:p>
    <w:p>
      <w:r>
        <w:t>[2] NTA 8620:2020, Paragraaf 7.2.4 — Identificatie en beoordeling gevaren</w:t>
      </w:r>
    </w:p>
    <w:p>
      <w:r>
        <w:t>[3] BRZO 1999 (Besluit risico's zware ongevallen), Artikel 17, Bijlage II</w:t>
      </w:r>
    </w:p>
    <w:p>
      <w:r>
        <w:t>[4] RIVM — Handleiding risicobeoordelingen BRZO (2020)</w:t>
      </w:r>
    </w:p>
    <w:p>
      <w:r>
        <w:t>[5] TNO — Yellow Book, Methods for the calculation of physical effects (CPR 14E)</w:t>
      </w:r>
    </w:p>
    <w:p>
      <w:r>
        <w:t>[6] PGS 15 — Opslag van gevaarlijke stoffen in verpakking (2025)</w:t>
      </w:r>
    </w:p>
    <w:p>
      <w:pPr>
        <w:pStyle w:val="Heading2"/>
      </w:pPr>
      <w:r>
        <w:rPr>
          <w:rFonts w:ascii="Calibri" w:hAnsi="Calibri"/>
          <w:color w:val="003366"/>
        </w:rPr>
        <w:t>TierVerify Log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fill="003366"/>
          </w:tcPr>
          <w:p>
            <w:r>
              <w:rPr>
                <w:b/>
                <w:color w:val="FFFFFF"/>
                <w:sz w:val="20"/>
              </w:rPr>
              <w:t>Check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  <w:sz w:val="20"/>
              </w:rPr>
              <w:t>Bron</w:t>
            </w:r>
          </w:p>
        </w:tc>
        <w:tc>
          <w:tcPr>
            <w:tcW w:type="dxa" w:w="2880"/>
            <w:shd w:fill="003366"/>
          </w:tcPr>
          <w:p>
            <w:r>
              <w:rPr>
                <w:b/>
                <w:color w:val="FFFFFF"/>
                <w:sz w:val="20"/>
              </w:rPr>
              <w:t>Status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Wettelijk kader correct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Seveso III 2012/18/EU, BRZO 1999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✅ Geverifieerd</w:t>
            </w:r>
          </w:p>
        </w:tc>
      </w:tr>
      <w:tr>
        <w:tc>
          <w:tcPr>
            <w:tcW w:type="dxa" w:w="2880"/>
            <w:shd w:fill="F8F9FA"/>
          </w:tcPr>
          <w:p>
            <w:r>
              <w:rPr>
                <w:sz w:val="20"/>
              </w:rPr>
              <w:t>NTA 8620 referenties</w:t>
            </w:r>
          </w:p>
        </w:tc>
        <w:tc>
          <w:tcPr>
            <w:tcW w:type="dxa" w:w="2880"/>
            <w:shd w:fill="F8F9FA"/>
          </w:tcPr>
          <w:p>
            <w:r>
              <w:rPr>
                <w:sz w:val="20"/>
              </w:rPr>
              <w:t>NTA 8620:2020</w:t>
            </w:r>
          </w:p>
        </w:tc>
        <w:tc>
          <w:tcPr>
            <w:tcW w:type="dxa" w:w="2880"/>
            <w:shd w:fill="F8F9FA"/>
          </w:tcPr>
          <w:p>
            <w:r>
              <w:rPr>
                <w:sz w:val="20"/>
              </w:rPr>
              <w:t>✅ Geverifieerd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Technische data consistent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RIVM, PGS richtlijnen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✅ Geverifieerd</w:t>
            </w:r>
          </w:p>
        </w:tc>
      </w:tr>
      <w:tr>
        <w:tc>
          <w:tcPr>
            <w:tcW w:type="dxa" w:w="2880"/>
            <w:shd w:fill="F8F9FA"/>
          </w:tcPr>
          <w:p>
            <w:r>
              <w:rPr>
                <w:sz w:val="20"/>
              </w:rPr>
              <w:t>Documentstructuur</w:t>
            </w:r>
          </w:p>
        </w:tc>
        <w:tc>
          <w:tcPr>
            <w:tcW w:type="dxa" w:w="2880"/>
            <w:shd w:fill="F8F9FA"/>
          </w:tcPr>
          <w:p>
            <w:r>
              <w:rPr>
                <w:sz w:val="20"/>
              </w:rPr>
              <w:t>MASTER_STYLEGUIDE §2.1</w:t>
            </w:r>
          </w:p>
        </w:tc>
        <w:tc>
          <w:tcPr>
            <w:tcW w:type="dxa" w:w="2880"/>
            <w:shd w:fill="F8F9FA"/>
          </w:tcPr>
          <w:p>
            <w:r>
              <w:rPr>
                <w:sz w:val="20"/>
              </w:rPr>
              <w:t>✅ Geverifieerd</w:t>
            </w:r>
          </w:p>
        </w:tc>
      </w:tr>
      <w:tr>
        <w:tc>
          <w:tcPr>
            <w:tcW w:type="dxa" w:w="2880"/>
          </w:tcPr>
          <w:p>
            <w:r>
              <w:rPr>
                <w:sz w:val="20"/>
              </w:rPr>
              <w:t>Bronverwijzingen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MASTER_STYLEGUIDE §1.8</w:t>
            </w:r>
          </w:p>
        </w:tc>
        <w:tc>
          <w:tcPr>
            <w:tcW w:type="dxa" w:w="2880"/>
          </w:tcPr>
          <w:p>
            <w:r>
              <w:rPr>
                <w:sz w:val="20"/>
              </w:rPr>
              <w:t>✅ Geverifieerd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374151"/>
        <w:sz w:val="16"/>
      </w:rPr>
      <w:t>JvG Consultancy | Safety • Governance • Advisory | ©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F2937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