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/>
    <w:p/>
    <w:p/>
    <w:p/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1440000" cy="12924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jvg-logo-white-medium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440000" cy="12924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pPr>
        <w:jc w:val="center"/>
      </w:pPr>
      <w:r>
        <w:rPr>
          <w:rFonts w:ascii="Calibri" w:hAnsi="Calibri"/>
          <w:b/>
          <w:color w:val="003366"/>
          <w:sz w:val="52"/>
        </w:rPr>
        <w:t>BowTie Samenvatting Procesveiligheid</w:t>
      </w:r>
    </w:p>
    <w:p>
      <w:pPr>
        <w:jc w:val="center"/>
      </w:pPr>
      <w:r>
        <w:rPr>
          <w:rFonts w:ascii="Calibri" w:hAnsi="Calibri"/>
          <w:color w:val="1F2937"/>
          <w:sz w:val="32"/>
        </w:rPr>
        <w:t>VBS Element 2 — Document #8</w:t>
      </w:r>
    </w:p>
    <w:p/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2268"/>
          </w:tcPr>
          <w:p>
            <w:r>
              <w:rPr>
                <w:rFonts w:ascii="Calibri" w:hAnsi="Calibri"/>
                <w:b/>
                <w:color w:val="003366"/>
                <w:sz w:val="22"/>
              </w:rPr>
              <w:t>Project</w:t>
            </w:r>
          </w:p>
        </w:tc>
        <w:tc>
          <w:tcPr>
            <w:tcW w:type="dxa" w:w="4535"/>
          </w:tcPr>
          <w:p>
            <w:r>
              <w:rPr>
                <w:rFonts w:ascii="Calibri" w:hAnsi="Calibri"/>
                <w:color w:val="1F2937"/>
                <w:sz w:val="22"/>
              </w:rPr>
              <w:t>2026-PM-VBS-Element2</w:t>
            </w:r>
          </w:p>
        </w:tc>
      </w:tr>
      <w:tr>
        <w:tc>
          <w:tcPr>
            <w:tcW w:type="dxa" w:w="2268"/>
          </w:tcPr>
          <w:p>
            <w:r>
              <w:rPr>
                <w:rFonts w:ascii="Calibri" w:hAnsi="Calibri"/>
                <w:b/>
                <w:color w:val="003366"/>
                <w:sz w:val="22"/>
              </w:rPr>
              <w:t>Bedrijf</w:t>
            </w:r>
          </w:p>
        </w:tc>
        <w:tc>
          <w:tcPr>
            <w:tcW w:type="dxa" w:w="4535"/>
          </w:tcPr>
          <w:p>
            <w:r>
              <w:rPr>
                <w:rFonts w:ascii="Calibri" w:hAnsi="Calibri"/>
                <w:color w:val="1F2937"/>
                <w:sz w:val="22"/>
              </w:rPr>
              <w:t>Phoenix Metals B.V.</w:t>
            </w:r>
          </w:p>
        </w:tc>
      </w:tr>
      <w:tr>
        <w:tc>
          <w:tcPr>
            <w:tcW w:type="dxa" w:w="2268"/>
          </w:tcPr>
          <w:p>
            <w:r>
              <w:rPr>
                <w:rFonts w:ascii="Calibri" w:hAnsi="Calibri"/>
                <w:b/>
                <w:color w:val="003366"/>
                <w:sz w:val="22"/>
              </w:rPr>
              <w:t>Type</w:t>
            </w:r>
          </w:p>
        </w:tc>
        <w:tc>
          <w:tcPr>
            <w:tcW w:type="dxa" w:w="4535"/>
          </w:tcPr>
          <w:p>
            <w:r>
              <w:rPr>
                <w:rFonts w:ascii="Calibri" w:hAnsi="Calibri"/>
                <w:color w:val="1F2937"/>
                <w:sz w:val="22"/>
              </w:rPr>
              <w:t>BowTie Procesveiligheid</w:t>
            </w:r>
          </w:p>
        </w:tc>
      </w:tr>
      <w:tr>
        <w:tc>
          <w:tcPr>
            <w:tcW w:type="dxa" w:w="2268"/>
          </w:tcPr>
          <w:p>
            <w:r>
              <w:rPr>
                <w:rFonts w:ascii="Calibri" w:hAnsi="Calibri"/>
                <w:b/>
                <w:color w:val="003366"/>
                <w:sz w:val="22"/>
              </w:rPr>
              <w:t>Auteur</w:t>
            </w:r>
          </w:p>
        </w:tc>
        <w:tc>
          <w:tcPr>
            <w:tcW w:type="dxa" w:w="4535"/>
          </w:tcPr>
          <w:p>
            <w:r>
              <w:rPr>
                <w:rFonts w:ascii="Calibri" w:hAnsi="Calibri"/>
                <w:color w:val="1F2937"/>
                <w:sz w:val="22"/>
              </w:rPr>
              <w:t>HQ_01 HSEQ Specialist</w:t>
            </w:r>
          </w:p>
        </w:tc>
      </w:tr>
      <w:tr>
        <w:tc>
          <w:tcPr>
            <w:tcW w:type="dxa" w:w="2268"/>
          </w:tcPr>
          <w:p>
            <w:r>
              <w:rPr>
                <w:rFonts w:ascii="Calibri" w:hAnsi="Calibri"/>
                <w:b/>
                <w:color w:val="003366"/>
                <w:sz w:val="22"/>
              </w:rPr>
              <w:t>Versie</w:t>
            </w:r>
          </w:p>
        </w:tc>
        <w:tc>
          <w:tcPr>
            <w:tcW w:type="dxa" w:w="4535"/>
          </w:tcPr>
          <w:p>
            <w:r>
              <w:rPr>
                <w:rFonts w:ascii="Calibri" w:hAnsi="Calibri"/>
                <w:color w:val="1F2937"/>
                <w:sz w:val="22"/>
              </w:rPr>
              <w:t>1.0</w:t>
            </w:r>
          </w:p>
        </w:tc>
      </w:tr>
      <w:tr>
        <w:tc>
          <w:tcPr>
            <w:tcW w:type="dxa" w:w="2268"/>
          </w:tcPr>
          <w:p>
            <w:r>
              <w:rPr>
                <w:rFonts w:ascii="Calibri" w:hAnsi="Calibri"/>
                <w:b/>
                <w:color w:val="003366"/>
                <w:sz w:val="22"/>
              </w:rPr>
              <w:t>Datum</w:t>
            </w:r>
          </w:p>
        </w:tc>
        <w:tc>
          <w:tcPr>
            <w:tcW w:type="dxa" w:w="4535"/>
          </w:tcPr>
          <w:p>
            <w:r>
              <w:rPr>
                <w:rFonts w:ascii="Calibri" w:hAnsi="Calibri"/>
                <w:color w:val="1F2937"/>
                <w:sz w:val="22"/>
              </w:rPr>
              <w:t>2026-04-29</w:t>
            </w:r>
          </w:p>
        </w:tc>
      </w:tr>
      <w:tr>
        <w:tc>
          <w:tcPr>
            <w:tcW w:type="dxa" w:w="2268"/>
          </w:tcPr>
          <w:p>
            <w:r>
              <w:rPr>
                <w:rFonts w:ascii="Calibri" w:hAnsi="Calibri"/>
                <w:b/>
                <w:color w:val="003366"/>
                <w:sz w:val="22"/>
              </w:rPr>
              <w:t>Status</w:t>
            </w:r>
          </w:p>
        </w:tc>
        <w:tc>
          <w:tcPr>
            <w:tcW w:type="dxa" w:w="4535"/>
          </w:tcPr>
          <w:p>
            <w:r>
              <w:rPr>
                <w:rFonts w:ascii="Calibri" w:hAnsi="Calibri"/>
                <w:color w:val="1F2937"/>
                <w:sz w:val="22"/>
              </w:rPr>
              <w:t>Final</w:t>
            </w:r>
          </w:p>
        </w:tc>
      </w:tr>
    </w:tbl>
    <w:p>
      <w:r>
        <w:br w:type="page"/>
      </w:r>
    </w:p>
    <w:p>
      <w:pPr>
        <w:pStyle w:val="Heading1"/>
      </w:pPr>
      <w:r>
        <w:rPr>
          <w:rFonts w:ascii="Calibri" w:hAnsi="Calibri"/>
          <w:color w:val="003366"/>
        </w:rPr>
        <w:t>Documentbeheersing</w:t>
      </w:r>
    </w:p>
    <w:p>
      <w:pPr>
        <w:pStyle w:val="Heading2"/>
      </w:pPr>
      <w:r>
        <w:rPr>
          <w:rFonts w:ascii="Calibri" w:hAnsi="Calibri"/>
          <w:color w:val="003366"/>
        </w:rPr>
        <w:t>Versiebeheer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  <w:shd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Versie</w:t>
            </w:r>
          </w:p>
        </w:tc>
        <w:tc>
          <w:tcPr>
            <w:tcW w:type="dxa" w:w="2160"/>
            <w:shd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Datum</w:t>
            </w:r>
          </w:p>
        </w:tc>
        <w:tc>
          <w:tcPr>
            <w:tcW w:type="dxa" w:w="2160"/>
            <w:shd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Auteur</w:t>
            </w:r>
          </w:p>
        </w:tc>
        <w:tc>
          <w:tcPr>
            <w:tcW w:type="dxa" w:w="2160"/>
            <w:shd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Wijziging</w:t>
            </w:r>
          </w:p>
        </w:tc>
      </w:tr>
      <w:tr>
        <w:tc>
          <w:tcPr>
            <w:tcW w:type="dxa" w:w="2160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1.0</w:t>
            </w:r>
          </w:p>
        </w:tc>
        <w:tc>
          <w:tcPr>
            <w:tcW w:type="dxa" w:w="2160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2026-04-29</w:t>
            </w:r>
          </w:p>
        </w:tc>
        <w:tc>
          <w:tcPr>
            <w:tcW w:type="dxa" w:w="2160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HQ_01 HSEQ Specialist</w:t>
            </w:r>
          </w:p>
        </w:tc>
        <w:tc>
          <w:tcPr>
            <w:tcW w:type="dxa" w:w="2160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Initiële versie</w:t>
            </w:r>
          </w:p>
        </w:tc>
      </w:tr>
    </w:tbl>
    <w:p>
      <w:pPr>
        <w:pStyle w:val="Heading2"/>
      </w:pPr>
      <w:r>
        <w:rPr>
          <w:rFonts w:ascii="Calibri" w:hAnsi="Calibri"/>
          <w:color w:val="003366"/>
        </w:rPr>
        <w:t>Distributielijst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  <w:shd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Rol</w:t>
            </w:r>
          </w:p>
        </w:tc>
        <w:tc>
          <w:tcPr>
            <w:tcW w:type="dxa" w:w="2880"/>
            <w:shd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Naam</w:t>
            </w:r>
          </w:p>
        </w:tc>
        <w:tc>
          <w:tcPr>
            <w:tcW w:type="dxa" w:w="2880"/>
            <w:shd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Distributie</w:t>
            </w:r>
          </w:p>
        </w:tc>
      </w:tr>
      <w:tr>
        <w:tc>
          <w:tcPr>
            <w:tcW w:type="dxa" w:w="2880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Directie</w:t>
            </w:r>
          </w:p>
        </w:tc>
        <w:tc>
          <w:tcPr>
            <w:tcW w:type="dxa" w:w="2880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Management Team Phoenix Metals</w:t>
            </w:r>
          </w:p>
        </w:tc>
        <w:tc>
          <w:tcPr>
            <w:tcW w:type="dxa" w:w="2880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Digitaal (PDF)</w:t>
            </w:r>
          </w:p>
        </w:tc>
      </w:tr>
      <w:tr>
        <w:tc>
          <w:tcPr>
            <w:tcW w:type="dxa" w:w="2880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HSEQ Manager</w:t>
            </w:r>
          </w:p>
        </w:tc>
        <w:tc>
          <w:tcPr>
            <w:tcW w:type="dxa" w:w="2880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Te benoemen</w:t>
            </w:r>
          </w:p>
        </w:tc>
        <w:tc>
          <w:tcPr>
            <w:tcW w:type="dxa" w:w="2880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Digitaal + Print</w:t>
            </w:r>
          </w:p>
        </w:tc>
      </w:tr>
      <w:tr>
        <w:tc>
          <w:tcPr>
            <w:tcW w:type="dxa" w:w="2880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Plant Manager</w:t>
            </w:r>
          </w:p>
        </w:tc>
        <w:tc>
          <w:tcPr>
            <w:tcW w:type="dxa" w:w="2880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Te benoemen</w:t>
            </w:r>
          </w:p>
        </w:tc>
        <w:tc>
          <w:tcPr>
            <w:tcW w:type="dxa" w:w="2880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Digitaal</w:t>
            </w:r>
          </w:p>
        </w:tc>
      </w:tr>
      <w:tr>
        <w:tc>
          <w:tcPr>
            <w:tcW w:type="dxa" w:w="2880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Adviseur</w:t>
            </w:r>
          </w:p>
        </w:tc>
        <w:tc>
          <w:tcPr>
            <w:tcW w:type="dxa" w:w="2880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JvG Consultancy</w:t>
            </w:r>
          </w:p>
        </w:tc>
        <w:tc>
          <w:tcPr>
            <w:tcW w:type="dxa" w:w="2880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Digitaal</w:t>
            </w:r>
          </w:p>
        </w:tc>
      </w:tr>
    </w:tbl>
    <w:p>
      <w:pPr>
        <w:pStyle w:val="Heading2"/>
      </w:pPr>
      <w:r>
        <w:rPr>
          <w:rFonts w:ascii="Calibri" w:hAnsi="Calibri"/>
          <w:color w:val="003366"/>
        </w:rPr>
        <w:t>Autorisatie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  <w:shd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Functie</w:t>
            </w:r>
          </w:p>
        </w:tc>
        <w:tc>
          <w:tcPr>
            <w:tcW w:type="dxa" w:w="2880"/>
            <w:shd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Naam</w:t>
            </w:r>
          </w:p>
        </w:tc>
        <w:tc>
          <w:tcPr>
            <w:tcW w:type="dxa" w:w="2880"/>
            <w:shd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Datum/Handtekening</w:t>
            </w:r>
          </w:p>
        </w:tc>
      </w:tr>
      <w:tr>
        <w:tc>
          <w:tcPr>
            <w:tcW w:type="dxa" w:w="2880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Opgesteld door</w:t>
            </w:r>
          </w:p>
        </w:tc>
        <w:tc>
          <w:tcPr>
            <w:tcW w:type="dxa" w:w="2880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HQ_01 HSEQ Specialist</w:t>
            </w:r>
          </w:p>
        </w:tc>
        <w:tc>
          <w:tcPr>
            <w:tcW w:type="dxa" w:w="2880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2026-04-29</w:t>
            </w:r>
          </w:p>
        </w:tc>
      </w:tr>
      <w:tr>
        <w:tc>
          <w:tcPr>
            <w:tcW w:type="dxa" w:w="2880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Gecontroleerd door</w:t>
            </w:r>
          </w:p>
        </w:tc>
        <w:tc>
          <w:tcPr>
            <w:tcW w:type="dxa" w:w="2880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Kas (Director of Operations)</w:t>
            </w:r>
          </w:p>
        </w:tc>
        <w:tc>
          <w:tcPr>
            <w:tcW w:type="dxa" w:w="2880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2026-04-29</w:t>
            </w:r>
          </w:p>
        </w:tc>
      </w:tr>
      <w:tr>
        <w:tc>
          <w:tcPr>
            <w:tcW w:type="dxa" w:w="2880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Goedgekeurd door</w:t>
            </w:r>
          </w:p>
        </w:tc>
        <w:tc>
          <w:tcPr>
            <w:tcW w:type="dxa" w:w="2880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Directie Phoenix Metals</w:t>
            </w:r>
          </w:p>
        </w:tc>
        <w:tc>
          <w:tcPr>
            <w:tcW w:type="dxa" w:w="2880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Ter goedkeuring</w:t>
            </w:r>
          </w:p>
        </w:tc>
      </w:tr>
    </w:tbl>
    <w:p>
      <w:r>
        <w:br w:type="page"/>
      </w:r>
    </w:p>
    <w:p>
      <w:pPr>
        <w:pStyle w:val="Heading1"/>
      </w:pPr>
      <w:r>
        <w:rPr>
          <w:rFonts w:ascii="Calibri" w:hAnsi="Calibri"/>
          <w:color w:val="003366"/>
        </w:rPr>
        <w:t>1. Doel &amp; Scope</w:t>
      </w:r>
    </w:p>
    <w:p>
      <w:pPr>
        <w:pStyle w:val="Heading2"/>
      </w:pPr>
      <w:r>
        <w:rPr>
          <w:rFonts w:ascii="Calibri" w:hAnsi="Calibri"/>
          <w:color w:val="003366"/>
        </w:rPr>
        <w:t>1.1 Doel</w:t>
      </w:r>
    </w:p>
    <w:p>
      <w:r>
        <w:rPr>
          <w:rFonts w:ascii="Calibri" w:hAnsi="Calibri"/>
          <w:b w:val="0"/>
          <w:color w:val="1F2937"/>
          <w:sz w:val="22"/>
        </w:rPr>
        <w:t>Dit document geeft een visueel overzicht van de kritieke risicoscenario's voor het Management Team van Phoenix Metals B.V. middels de BowTie-methodiek [1][2]. De BowTie-modellen bieden direct inzicht in de oorzaken (threats), preventieve barrières, het top event, mitigerende barrières en de mogelijke gevolgen per scenario.</w:t>
      </w:r>
    </w:p>
    <w:p>
      <w:pPr>
        <w:pStyle w:val="Heading2"/>
      </w:pPr>
      <w:r>
        <w:rPr>
          <w:rFonts w:ascii="Calibri" w:hAnsi="Calibri"/>
          <w:color w:val="003366"/>
        </w:rPr>
        <w:t>1.2 Scope</w:t>
      </w:r>
    </w:p>
    <w:p>
      <w:r>
        <w:rPr>
          <w:rFonts w:ascii="Calibri" w:hAnsi="Calibri"/>
          <w:b w:val="0"/>
          <w:color w:val="1F2937"/>
          <w:sz w:val="22"/>
        </w:rPr>
        <w:t>De scope omvat de 6 meest kritieke risico's geïdentificeerd in het Gevarenregister (Document #2) [1]. Deze scenario's vertegenwoordigen de hoogste risico's gerelateerd aan procesveiligheid, blootstelling aan gevaarlijke stoffen en milieu-impact binnen de vanadiumproductie-installatie te IJmuiden [6].</w:t>
      </w:r>
    </w:p>
    <w:p>
      <w:pPr>
        <w:pStyle w:val="Heading2"/>
      </w:pPr>
      <w:r>
        <w:rPr>
          <w:rFonts w:ascii="Calibri" w:hAnsi="Calibri"/>
          <w:color w:val="003366"/>
        </w:rPr>
        <w:t>1.3 Doelgroep</w:t>
      </w:r>
    </w:p>
    <w:p>
      <w:r>
        <w:rPr>
          <w:rFonts w:ascii="Calibri" w:hAnsi="Calibri"/>
          <w:b w:val="0"/>
          <w:color w:val="1F2937"/>
          <w:sz w:val="22"/>
        </w:rPr>
        <w:t>Directie-communicatie en MT-besluitvorming. Dit document is bedoeld als management samenvatting en vervangt niet de gedetailleerde risicoanalyses (FMECA, HAZOP) [3].</w:t>
      </w:r>
    </w:p>
    <w:p>
      <w:r>
        <w:br w:type="page"/>
      </w:r>
    </w:p>
    <w:p>
      <w:pPr>
        <w:pStyle w:val="Heading1"/>
      </w:pPr>
      <w:r>
        <w:rPr>
          <w:rFonts w:ascii="Calibri" w:hAnsi="Calibri"/>
          <w:color w:val="003366"/>
        </w:rPr>
        <w:t>2. BowTie Methodiek</w:t>
      </w:r>
    </w:p>
    <w:p>
      <w:r>
        <w:rPr>
          <w:rFonts w:ascii="Calibri" w:hAnsi="Calibri"/>
          <w:b w:val="0"/>
          <w:color w:val="1F2937"/>
          <w:sz w:val="22"/>
        </w:rPr>
        <w:t>De BowTie-methodiek visualiseert risicoscenario's in een enkel overzichtelijk diagram [2][5]: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  <w:shd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Element</w:t>
            </w:r>
          </w:p>
        </w:tc>
        <w:tc>
          <w:tcPr>
            <w:tcW w:type="dxa" w:w="4320"/>
            <w:shd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Beschrijving</w:t>
            </w:r>
          </w:p>
        </w:tc>
      </w:tr>
      <w:tr>
        <w:tc>
          <w:tcPr>
            <w:tcW w:type="dxa" w:w="4320"/>
          </w:tcPr>
          <w:p>
            <w:r/>
            <w:r>
              <w:rPr>
                <w:rFonts w:ascii="Calibri" w:hAnsi="Calibri"/>
                <w:b/>
                <w:color w:val="1F2937"/>
                <w:sz w:val="20"/>
              </w:rPr>
              <w:t>Threats (Links)</w:t>
            </w:r>
          </w:p>
        </w:tc>
        <w:tc>
          <w:tcPr>
            <w:tcW w:type="dxa" w:w="4320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Bedreigingen en oorzaken die kunnen leiden tot het Top Event</w:t>
            </w:r>
          </w:p>
        </w:tc>
      </w:tr>
      <w:tr>
        <w:tc>
          <w:tcPr>
            <w:tcW w:type="dxa" w:w="4320"/>
          </w:tcPr>
          <w:p>
            <w:r/>
            <w:r>
              <w:rPr>
                <w:rFonts w:ascii="Calibri" w:hAnsi="Calibri"/>
                <w:b/>
                <w:color w:val="1F2937"/>
                <w:sz w:val="20"/>
              </w:rPr>
              <w:t>Top Event (Midden)</w:t>
            </w:r>
          </w:p>
        </w:tc>
        <w:tc>
          <w:tcPr>
            <w:tcW w:type="dxa" w:w="4320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De centrale ongewenste gebeurtenis (het ongeval/de gebeurtenis)</w:t>
            </w:r>
          </w:p>
        </w:tc>
      </w:tr>
      <w:tr>
        <w:tc>
          <w:tcPr>
            <w:tcW w:type="dxa" w:w="4320"/>
          </w:tcPr>
          <w:p>
            <w:r/>
            <w:r>
              <w:rPr>
                <w:rFonts w:ascii="Calibri" w:hAnsi="Calibri"/>
                <w:b/>
                <w:color w:val="1F2937"/>
                <w:sz w:val="20"/>
              </w:rPr>
              <w:t>Consequences (Rechts)</w:t>
            </w:r>
          </w:p>
        </w:tc>
        <w:tc>
          <w:tcPr>
            <w:tcW w:type="dxa" w:w="4320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Mogelijke gevolgen indien het Top Event zich voordoet</w:t>
            </w:r>
          </w:p>
        </w:tc>
      </w:tr>
      <w:tr>
        <w:tc>
          <w:tcPr>
            <w:tcW w:type="dxa" w:w="4320"/>
          </w:tcPr>
          <w:p>
            <w:r/>
            <w:r>
              <w:rPr>
                <w:rFonts w:ascii="Calibri" w:hAnsi="Calibri"/>
                <w:b/>
                <w:color w:val="1F2937"/>
                <w:sz w:val="20"/>
              </w:rPr>
              <w:t>Preventive Barriers (Boven)</w:t>
            </w:r>
          </w:p>
        </w:tc>
        <w:tc>
          <w:tcPr>
            <w:tcW w:type="dxa" w:w="4320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Barrières die voorkomen dat Threats leiden tot het Top Event</w:t>
            </w:r>
          </w:p>
        </w:tc>
      </w:tr>
      <w:tr>
        <w:tc>
          <w:tcPr>
            <w:tcW w:type="dxa" w:w="4320"/>
          </w:tcPr>
          <w:p>
            <w:r/>
            <w:r>
              <w:rPr>
                <w:rFonts w:ascii="Calibri" w:hAnsi="Calibri"/>
                <w:b/>
                <w:color w:val="1F2937"/>
                <w:sz w:val="20"/>
              </w:rPr>
              <w:t>Mitigative Barriers (Onder)</w:t>
            </w:r>
          </w:p>
        </w:tc>
        <w:tc>
          <w:tcPr>
            <w:tcW w:type="dxa" w:w="4320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Barrières die de gevolgen mitigeren na het Top Event</w:t>
            </w:r>
          </w:p>
        </w:tc>
      </w:tr>
    </w:tbl>
    <w:p>
      <w:r>
        <w:rPr>
          <w:rFonts w:ascii="Calibri" w:hAnsi="Calibri"/>
          <w:b w:val="0"/>
          <w:color w:val="1F2937"/>
          <w:sz w:val="22"/>
        </w:rPr>
      </w:r>
    </w:p>
    <w:p>
      <w:r>
        <w:rPr>
          <w:rFonts w:ascii="Calibri" w:hAnsi="Calibri"/>
          <w:b w:val="0"/>
          <w:color w:val="1F2937"/>
          <w:sz w:val="22"/>
        </w:rPr>
        <w:t>Doel: Visueel inzicht in hoe elk risicoscenario is afgedekt met preventieve en mitigerende barrières, en waar eventuele hiaten (gaps) bestaan [2].</w:t>
      </w:r>
    </w:p>
    <w:p>
      <w:r>
        <w:br w:type="page"/>
      </w:r>
    </w:p>
    <w:p>
      <w:pPr>
        <w:pStyle w:val="Heading1"/>
      </w:pPr>
      <w:r>
        <w:rPr>
          <w:rFonts w:ascii="Calibri" w:hAnsi="Calibri"/>
          <w:color w:val="003366"/>
        </w:rPr>
        <w:t>3. BowTie Analyses</w:t>
      </w:r>
    </w:p>
    <w:p>
      <w:pPr>
        <w:pStyle w:val="Heading2"/>
      </w:pPr>
      <w:r>
        <w:rPr>
          <w:rFonts w:ascii="Calibri" w:hAnsi="Calibri"/>
          <w:color w:val="003366"/>
        </w:rPr>
        <w:t>3.1 Scenario 1: Grote Lekkage Zwavelzuur (H₂SO₄)</w:t>
      </w:r>
    </w:p>
    <w:p>
      <w:r>
        <w:rPr>
          <w:rFonts w:ascii="Calibri" w:hAnsi="Calibri"/>
          <w:b/>
          <w:color w:val="1F2937"/>
          <w:sz w:val="22"/>
        </w:rPr>
        <w:t xml:space="preserve">Top Event: </w:t>
      </w:r>
      <w:r>
        <w:rPr>
          <w:rFonts w:ascii="Calibri" w:hAnsi="Calibri"/>
          <w:color w:val="1F2937"/>
          <w:sz w:val="22"/>
        </w:rPr>
        <w:t>Grote lekkage zwavelzuur uit reactor/opslag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814"/>
            <w:shd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8"/>
              </w:rPr>
              <w:t>Threats</w:t>
              <w:br/>
              <w:t>(Oorzaken)</w:t>
            </w:r>
          </w:p>
        </w:tc>
        <w:tc>
          <w:tcPr>
            <w:tcW w:type="dxa" w:w="1814"/>
            <w:shd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8"/>
              </w:rPr>
              <w:t>Preventieve</w:t>
              <w:br/>
              <w:t>Barrières</w:t>
            </w:r>
          </w:p>
        </w:tc>
        <w:tc>
          <w:tcPr>
            <w:tcW w:type="dxa" w:w="2154"/>
            <w:shd w:fill="FF6D00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8"/>
              </w:rPr>
              <w:t>⬇ TOP EVENT ⬇</w:t>
            </w:r>
          </w:p>
        </w:tc>
        <w:tc>
          <w:tcPr>
            <w:tcW w:type="dxa" w:w="1814"/>
            <w:shd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8"/>
              </w:rPr>
              <w:t>Gevolgen</w:t>
              <w:br/>
              <w:t>(Consequences)</w:t>
            </w:r>
          </w:p>
        </w:tc>
        <w:tc>
          <w:tcPr>
            <w:tcW w:type="dxa" w:w="1814"/>
            <w:shd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8"/>
              </w:rPr>
              <w:t>Mitigerende</w:t>
              <w:br/>
              <w:t>Barrières</w:t>
            </w:r>
          </w:p>
        </w:tc>
      </w:tr>
      <w:tr>
        <w:tc>
          <w:tcPr>
            <w:tcW w:type="dxa" w:w="1814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• Corrosie leidingen</w:t>
            </w:r>
          </w:p>
        </w:tc>
        <w:tc>
          <w:tcPr>
            <w:tcW w:type="dxa" w:w="1814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• Inspectieprogramma</w:t>
            </w:r>
          </w:p>
        </w:tc>
        <w:tc>
          <w:tcPr>
            <w:tcW w:type="dxa" w:w="2154"/>
            <w:shd w:fill="FFF3E0"/>
          </w:tcPr>
          <w:p>
            <w:r/>
            <w:r>
              <w:rPr>
                <w:rFonts w:ascii="Calibri" w:hAnsi="Calibri"/>
                <w:b/>
                <w:color w:val="FF6D00"/>
                <w:sz w:val="18"/>
              </w:rPr>
              <w:t>Grote lekkage zwavelzuur uit reactor/opslag</w:t>
            </w:r>
          </w:p>
        </w:tc>
        <w:tc>
          <w:tcPr>
            <w:tcW w:type="dxa" w:w="1814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• Brandwonden medewerkers</w:t>
            </w:r>
          </w:p>
        </w:tc>
        <w:tc>
          <w:tcPr>
            <w:tcW w:type="dxa" w:w="1814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• Nooddouches / oogdouches</w:t>
            </w:r>
          </w:p>
        </w:tc>
      </w:tr>
      <w:tr>
        <w:tc>
          <w:tcPr>
            <w:tcW w:type="dxa" w:w="1814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• Constructiefalen</w:t>
            </w:r>
          </w:p>
        </w:tc>
        <w:tc>
          <w:tcPr>
            <w:tcW w:type="dxa" w:w="1814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• Corrosiemonitoring</w:t>
            </w:r>
          </w:p>
        </w:tc>
        <w:tc>
          <w:tcPr>
            <w:tcW w:type="dxa" w:w="2154"/>
          </w:tcPr>
          <w:p>
            <w:r/>
          </w:p>
        </w:tc>
        <w:tc>
          <w:tcPr>
            <w:tcW w:type="dxa" w:w="1814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• Zuurwolk verspreiding omgeving</w:t>
            </w:r>
          </w:p>
        </w:tc>
        <w:tc>
          <w:tcPr>
            <w:tcW w:type="dxa" w:w="1814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• Lekvrije opvangbak (110%)</w:t>
            </w:r>
          </w:p>
        </w:tc>
      </w:tr>
      <w:tr>
        <w:tc>
          <w:tcPr>
            <w:tcW w:type="dxa" w:w="1814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• Menselijke fout bij overslag</w:t>
            </w:r>
          </w:p>
        </w:tc>
        <w:tc>
          <w:tcPr>
            <w:tcW w:type="dxa" w:w="1814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• Dubbele wand leidingen</w:t>
            </w:r>
          </w:p>
        </w:tc>
        <w:tc>
          <w:tcPr>
            <w:tcW w:type="dxa" w:w="2154"/>
          </w:tcPr>
          <w:p>
            <w:r/>
          </w:p>
        </w:tc>
        <w:tc>
          <w:tcPr>
            <w:tcW w:type="dxa" w:w="1814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• Bodemverontreiniging</w:t>
            </w:r>
          </w:p>
        </w:tc>
        <w:tc>
          <w:tcPr>
            <w:tcW w:type="dxa" w:w="1814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• Evacuatieplan</w:t>
            </w:r>
          </w:p>
        </w:tc>
      </w:tr>
      <w:tr>
        <w:tc>
          <w:tcPr>
            <w:tcW w:type="dxa" w:w="1814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• Seismische activiteit</w:t>
            </w:r>
          </w:p>
        </w:tc>
        <w:tc>
          <w:tcPr>
            <w:tcW w:type="dxa" w:w="1814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• Training &amp; certificering</w:t>
            </w:r>
          </w:p>
        </w:tc>
        <w:tc>
          <w:tcPr>
            <w:tcW w:type="dxa" w:w="2154"/>
          </w:tcPr>
          <w:p>
            <w:r/>
          </w:p>
        </w:tc>
        <w:tc>
          <w:tcPr>
            <w:tcW w:type="dxa" w:w="1814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• Productiestilstand</w:t>
            </w:r>
          </w:p>
        </w:tc>
        <w:tc>
          <w:tcPr>
            <w:tcW w:type="dxa" w:w="1814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• Bluswaterafvangsysteem</w:t>
            </w:r>
          </w:p>
        </w:tc>
      </w:tr>
      <w:tr>
        <w:tc>
          <w:tcPr>
            <w:tcW w:type="dxa" w:w="1814"/>
          </w:tcPr>
          <w:p>
            <w:r/>
          </w:p>
        </w:tc>
        <w:tc>
          <w:tcPr>
            <w:tcW w:type="dxa" w:w="1814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• Werkvergunningensysteem</w:t>
            </w:r>
          </w:p>
        </w:tc>
        <w:tc>
          <w:tcPr>
            <w:tcW w:type="dxa" w:w="2154"/>
          </w:tcPr>
          <w:p>
            <w:r/>
          </w:p>
        </w:tc>
        <w:tc>
          <w:tcPr>
            <w:tcW w:type="dxa" w:w="1814"/>
          </w:tcPr>
          <w:p>
            <w:r/>
          </w:p>
        </w:tc>
        <w:tc>
          <w:tcPr>
            <w:tcW w:type="dxa" w:w="1814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• Milieu-alarm systeem</w:t>
            </w:r>
          </w:p>
        </w:tc>
      </w:tr>
    </w:tbl>
    <w:p/>
    <w:p>
      <w:pPr>
        <w:pStyle w:val="Heading2"/>
      </w:pPr>
      <w:r>
        <w:rPr>
          <w:rFonts w:ascii="Calibri" w:hAnsi="Calibri"/>
          <w:color w:val="003366"/>
        </w:rPr>
        <w:t>3.2 Scenario 2: V₂O₅ Stofwolk (Carcinogeen)</w:t>
      </w:r>
    </w:p>
    <w:p>
      <w:r>
        <w:rPr>
          <w:rFonts w:ascii="Calibri" w:hAnsi="Calibri"/>
          <w:b/>
          <w:color w:val="1F2937"/>
          <w:sz w:val="22"/>
        </w:rPr>
        <w:t xml:space="preserve">Top Event: </w:t>
      </w:r>
      <w:r>
        <w:rPr>
          <w:rFonts w:ascii="Calibri" w:hAnsi="Calibri"/>
          <w:color w:val="1F2937"/>
          <w:sz w:val="22"/>
        </w:rPr>
        <w:t>Ongecontroleerde V₂O₅ stofemissie bij drogen/verpakking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814"/>
            <w:shd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8"/>
              </w:rPr>
              <w:t>Threats</w:t>
              <w:br/>
              <w:t>(Oorzaken)</w:t>
            </w:r>
          </w:p>
        </w:tc>
        <w:tc>
          <w:tcPr>
            <w:tcW w:type="dxa" w:w="1814"/>
            <w:shd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8"/>
              </w:rPr>
              <w:t>Preventieve</w:t>
              <w:br/>
              <w:t>Barrières</w:t>
            </w:r>
          </w:p>
        </w:tc>
        <w:tc>
          <w:tcPr>
            <w:tcW w:type="dxa" w:w="2154"/>
            <w:shd w:fill="FF6D00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8"/>
              </w:rPr>
              <w:t>⬇ TOP EVENT ⬇</w:t>
            </w:r>
          </w:p>
        </w:tc>
        <w:tc>
          <w:tcPr>
            <w:tcW w:type="dxa" w:w="1814"/>
            <w:shd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8"/>
              </w:rPr>
              <w:t>Gevolgen</w:t>
              <w:br/>
              <w:t>(Consequences)</w:t>
            </w:r>
          </w:p>
        </w:tc>
        <w:tc>
          <w:tcPr>
            <w:tcW w:type="dxa" w:w="1814"/>
            <w:shd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8"/>
              </w:rPr>
              <w:t>Mitigerende</w:t>
              <w:br/>
              <w:t>Barrières</w:t>
            </w:r>
          </w:p>
        </w:tc>
      </w:tr>
      <w:tr>
        <w:tc>
          <w:tcPr>
            <w:tcW w:type="dxa" w:w="1814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• Falen afzuiging</w:t>
            </w:r>
          </w:p>
        </w:tc>
        <w:tc>
          <w:tcPr>
            <w:tcW w:type="dxa" w:w="1814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• HEPA-filtratie systeem</w:t>
            </w:r>
          </w:p>
        </w:tc>
        <w:tc>
          <w:tcPr>
            <w:tcW w:type="dxa" w:w="2154"/>
            <w:shd w:fill="FFF3E0"/>
          </w:tcPr>
          <w:p>
            <w:r/>
            <w:r>
              <w:rPr>
                <w:rFonts w:ascii="Calibri" w:hAnsi="Calibri"/>
                <w:b/>
                <w:color w:val="FF6D00"/>
                <w:sz w:val="18"/>
              </w:rPr>
              <w:t>Ongecontroleerde V₂O₅ stofemissie bij drogen/verpakking</w:t>
            </w:r>
          </w:p>
        </w:tc>
        <w:tc>
          <w:tcPr>
            <w:tcW w:type="dxa" w:w="1814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• Inhalatie carcinogeen (Carc. 1B, H350i)</w:t>
            </w:r>
          </w:p>
        </w:tc>
        <w:tc>
          <w:tcPr>
            <w:tcW w:type="dxa" w:w="1814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• Ademhalingsbescherming (P3 filter)</w:t>
            </w:r>
          </w:p>
        </w:tc>
      </w:tr>
      <w:tr>
        <w:tc>
          <w:tcPr>
            <w:tcW w:type="dxa" w:w="1814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• Filterdoorbraak</w:t>
            </w:r>
          </w:p>
        </w:tc>
        <w:tc>
          <w:tcPr>
            <w:tcW w:type="dxa" w:w="1814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• Afgesloten verwerkingssysteem</w:t>
            </w:r>
          </w:p>
        </w:tc>
        <w:tc>
          <w:tcPr>
            <w:tcW w:type="dxa" w:w="2154"/>
          </w:tcPr>
          <w:p>
            <w:r/>
          </w:p>
        </w:tc>
        <w:tc>
          <w:tcPr>
            <w:tcW w:type="dxa" w:w="1814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• Huidblootstelling V₂O₅</w:t>
            </w:r>
          </w:p>
        </w:tc>
        <w:tc>
          <w:tcPr>
            <w:tcW w:type="dxa" w:w="1814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• Ontsmettingsdouches</w:t>
            </w:r>
          </w:p>
        </w:tc>
      </w:tr>
      <w:tr>
        <w:tc>
          <w:tcPr>
            <w:tcW w:type="dxa" w:w="1814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• Onderhoudswerkzaamheden</w:t>
            </w:r>
          </w:p>
        </w:tc>
        <w:tc>
          <w:tcPr>
            <w:tcW w:type="dxa" w:w="1814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• ATEX-apparatuur</w:t>
            </w:r>
          </w:p>
        </w:tc>
        <w:tc>
          <w:tcPr>
            <w:tcW w:type="dxa" w:w="2154"/>
          </w:tcPr>
          <w:p>
            <w:r/>
          </w:p>
        </w:tc>
        <w:tc>
          <w:tcPr>
            <w:tcW w:type="dxa" w:w="1814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• Milieu-emissie</w:t>
            </w:r>
          </w:p>
        </w:tc>
        <w:tc>
          <w:tcPr>
            <w:tcW w:type="dxa" w:w="1814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• Stofafvang &amp; reiniging</w:t>
            </w:r>
          </w:p>
        </w:tc>
      </w:tr>
      <w:tr>
        <w:tc>
          <w:tcPr>
            <w:tcW w:type="dxa" w:w="1814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• Big-bag falen</w:t>
            </w:r>
          </w:p>
        </w:tc>
        <w:tc>
          <w:tcPr>
            <w:tcW w:type="dxa" w:w="1814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• Stofvrije verpakking</w:t>
            </w:r>
          </w:p>
        </w:tc>
        <w:tc>
          <w:tcPr>
            <w:tcW w:type="dxa" w:w="2154"/>
          </w:tcPr>
          <w:p>
            <w:r/>
          </w:p>
        </w:tc>
        <w:tc>
          <w:tcPr>
            <w:tcW w:type="dxa" w:w="1814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• Nalevingsovertreding BRZO</w:t>
            </w:r>
          </w:p>
        </w:tc>
        <w:tc>
          <w:tcPr>
            <w:tcW w:type="dxa" w:w="1814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• Meldingsprocedure Incidenten</w:t>
            </w:r>
          </w:p>
        </w:tc>
      </w:tr>
      <w:tr>
        <w:tc>
          <w:tcPr>
            <w:tcW w:type="dxa" w:w="1814"/>
          </w:tcPr>
          <w:p>
            <w:r/>
          </w:p>
        </w:tc>
        <w:tc>
          <w:tcPr>
            <w:tcW w:type="dxa" w:w="1814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• Continue luchtmonitoring</w:t>
            </w:r>
          </w:p>
        </w:tc>
        <w:tc>
          <w:tcPr>
            <w:tcW w:type="dxa" w:w="2154"/>
          </w:tcPr>
          <w:p>
            <w:r/>
          </w:p>
        </w:tc>
        <w:tc>
          <w:tcPr>
            <w:tcW w:type="dxa" w:w="1814"/>
          </w:tcPr>
          <w:p>
            <w:r/>
          </w:p>
        </w:tc>
        <w:tc>
          <w:tcPr>
            <w:tcW w:type="dxa" w:w="1814"/>
          </w:tcPr>
          <w:p>
            <w:r/>
          </w:p>
        </w:tc>
      </w:tr>
    </w:tbl>
    <w:p/>
    <w:p>
      <w:pPr>
        <w:pStyle w:val="Heading2"/>
      </w:pPr>
      <w:r>
        <w:rPr>
          <w:rFonts w:ascii="Calibri" w:hAnsi="Calibri"/>
          <w:color w:val="003366"/>
        </w:rPr>
        <w:t>3.3 Scenario 3: Stofexplosie V₂O₅ Drooginstallatie</w:t>
      </w:r>
    </w:p>
    <w:p>
      <w:r>
        <w:rPr>
          <w:rFonts w:ascii="Calibri" w:hAnsi="Calibri"/>
          <w:b/>
          <w:color w:val="1F2937"/>
          <w:sz w:val="22"/>
        </w:rPr>
        <w:t xml:space="preserve">Top Event: </w:t>
      </w:r>
      <w:r>
        <w:rPr>
          <w:rFonts w:ascii="Calibri" w:hAnsi="Calibri"/>
          <w:color w:val="1F2937"/>
          <w:sz w:val="22"/>
        </w:rPr>
        <w:t>Stofexplosie in droog-/calcijnatie-eenheid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814"/>
            <w:shd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8"/>
              </w:rPr>
              <w:t>Threats</w:t>
              <w:br/>
              <w:t>(Oorzaken)</w:t>
            </w:r>
          </w:p>
        </w:tc>
        <w:tc>
          <w:tcPr>
            <w:tcW w:type="dxa" w:w="1814"/>
            <w:shd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8"/>
              </w:rPr>
              <w:t>Preventieve</w:t>
              <w:br/>
              <w:t>Barrières</w:t>
            </w:r>
          </w:p>
        </w:tc>
        <w:tc>
          <w:tcPr>
            <w:tcW w:type="dxa" w:w="2154"/>
            <w:shd w:fill="FF6D00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8"/>
              </w:rPr>
              <w:t>⬇ TOP EVENT ⬇</w:t>
            </w:r>
          </w:p>
        </w:tc>
        <w:tc>
          <w:tcPr>
            <w:tcW w:type="dxa" w:w="1814"/>
            <w:shd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8"/>
              </w:rPr>
              <w:t>Gevolgen</w:t>
              <w:br/>
              <w:t>(Consequences)</w:t>
            </w:r>
          </w:p>
        </w:tc>
        <w:tc>
          <w:tcPr>
            <w:tcW w:type="dxa" w:w="1814"/>
            <w:shd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8"/>
              </w:rPr>
              <w:t>Mitigerende</w:t>
              <w:br/>
              <w:t>Barrières</w:t>
            </w:r>
          </w:p>
        </w:tc>
      </w:tr>
      <w:tr>
        <w:tc>
          <w:tcPr>
            <w:tcW w:type="dxa" w:w="1814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• Stofophoping</w:t>
            </w:r>
          </w:p>
        </w:tc>
        <w:tc>
          <w:tcPr>
            <w:tcW w:type="dxa" w:w="1814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• ATEX zone 20/21 classificatie</w:t>
            </w:r>
          </w:p>
        </w:tc>
        <w:tc>
          <w:tcPr>
            <w:tcW w:type="dxa" w:w="2154"/>
            <w:shd w:fill="FFF3E0"/>
          </w:tcPr>
          <w:p>
            <w:r/>
            <w:r>
              <w:rPr>
                <w:rFonts w:ascii="Calibri" w:hAnsi="Calibri"/>
                <w:b/>
                <w:color w:val="FF6D00"/>
                <w:sz w:val="18"/>
              </w:rPr>
              <w:t>Stofexplosie in droog-/calcijnatie-eenheid</w:t>
            </w:r>
          </w:p>
        </w:tc>
        <w:tc>
          <w:tcPr>
            <w:tcW w:type="dxa" w:w="1814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• Persoonlijk letsel</w:t>
            </w:r>
          </w:p>
        </w:tc>
        <w:tc>
          <w:tcPr>
            <w:tcW w:type="dxa" w:w="1814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• Explosieontlasting (venting)</w:t>
            </w:r>
          </w:p>
        </w:tc>
      </w:tr>
      <w:tr>
        <w:tc>
          <w:tcPr>
            <w:tcW w:type="dxa" w:w="1814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• Ontstekingsbron (statisch/vonken)</w:t>
            </w:r>
          </w:p>
        </w:tc>
        <w:tc>
          <w:tcPr>
            <w:tcW w:type="dxa" w:w="1814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• Aarding &amp; equipotentiaal</w:t>
            </w:r>
          </w:p>
        </w:tc>
        <w:tc>
          <w:tcPr>
            <w:tcW w:type="dxa" w:w="2154"/>
          </w:tcPr>
          <w:p>
            <w:r/>
          </w:p>
        </w:tc>
        <w:tc>
          <w:tcPr>
            <w:tcW w:type="dxa" w:w="1814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• Structurele schade</w:t>
            </w:r>
          </w:p>
        </w:tc>
        <w:tc>
          <w:tcPr>
            <w:tcW w:type="dxa" w:w="1814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• Explosiedrukbestendige constructie</w:t>
            </w:r>
          </w:p>
        </w:tc>
      </w:tr>
      <w:tr>
        <w:tc>
          <w:tcPr>
            <w:tcW w:type="dxa" w:w="1814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• Oververhitting</w:t>
            </w:r>
          </w:p>
        </w:tc>
        <w:tc>
          <w:tcPr>
            <w:tcW w:type="dxa" w:w="1814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• Explosiebeveiliging (Ex-apparatuur)</w:t>
            </w:r>
          </w:p>
        </w:tc>
        <w:tc>
          <w:tcPr>
            <w:tcW w:type="dxa" w:w="2154"/>
          </w:tcPr>
          <w:p>
            <w:r/>
          </w:p>
        </w:tc>
        <w:tc>
          <w:tcPr>
            <w:tcW w:type="dxa" w:w="1814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• Brand (secundair)</w:t>
            </w:r>
          </w:p>
        </w:tc>
        <w:tc>
          <w:tcPr>
            <w:tcW w:type="dxa" w:w="1814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• Brandblussysteem</w:t>
            </w:r>
          </w:p>
        </w:tc>
      </w:tr>
      <w:tr>
        <w:tc>
          <w:tcPr>
            <w:tcW w:type="dxa" w:w="1814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• Falen stofafvangsysteem</w:t>
            </w:r>
          </w:p>
        </w:tc>
        <w:tc>
          <w:tcPr>
            <w:tcW w:type="dxa" w:w="1814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• Temperatuurmonitoring</w:t>
            </w:r>
          </w:p>
        </w:tc>
        <w:tc>
          <w:tcPr>
            <w:tcW w:type="dxa" w:w="2154"/>
          </w:tcPr>
          <w:p>
            <w:r/>
          </w:p>
        </w:tc>
        <w:tc>
          <w:tcPr>
            <w:tcW w:type="dxa" w:w="1814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• Domino-effect</w:t>
            </w:r>
          </w:p>
        </w:tc>
        <w:tc>
          <w:tcPr>
            <w:tcW w:type="dxa" w:w="1814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• Evacuatieplan</w:t>
            </w:r>
          </w:p>
        </w:tc>
      </w:tr>
      <w:tr>
        <w:tc>
          <w:tcPr>
            <w:tcW w:type="dxa" w:w="1814"/>
          </w:tcPr>
          <w:p>
            <w:r/>
          </w:p>
        </w:tc>
        <w:tc>
          <w:tcPr>
            <w:tcW w:type="dxa" w:w="1814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• Reinigingsschema (frequent)</w:t>
            </w:r>
          </w:p>
        </w:tc>
        <w:tc>
          <w:tcPr>
            <w:tcW w:type="dxa" w:w="2154"/>
          </w:tcPr>
          <w:p>
            <w:r/>
          </w:p>
        </w:tc>
        <w:tc>
          <w:tcPr>
            <w:tcW w:type="dxa" w:w="1814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• Productiestilstand</w:t>
            </w:r>
          </w:p>
        </w:tc>
        <w:tc>
          <w:tcPr>
            <w:tcW w:type="dxa" w:w="1814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• Noodstop (ESD)</w:t>
            </w:r>
          </w:p>
        </w:tc>
      </w:tr>
    </w:tbl>
    <w:p/>
    <w:p>
      <w:pPr>
        <w:pStyle w:val="Heading2"/>
      </w:pPr>
      <w:r>
        <w:rPr>
          <w:rFonts w:ascii="Calibri" w:hAnsi="Calibri"/>
          <w:color w:val="003366"/>
        </w:rPr>
        <w:t>3.4 Scenario 4: Ongecontroleerde Exotherme Reactie</w:t>
      </w:r>
    </w:p>
    <w:p>
      <w:r>
        <w:rPr>
          <w:rFonts w:ascii="Calibri" w:hAnsi="Calibri"/>
          <w:b/>
          <w:color w:val="1F2937"/>
          <w:sz w:val="22"/>
        </w:rPr>
        <w:t xml:space="preserve">Top Event: </w:t>
      </w:r>
      <w:r>
        <w:rPr>
          <w:rFonts w:ascii="Calibri" w:hAnsi="Calibri"/>
          <w:color w:val="1F2937"/>
          <w:sz w:val="22"/>
        </w:rPr>
        <w:t>Runaway reaction in uitlogingsreactor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814"/>
            <w:shd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8"/>
              </w:rPr>
              <w:t>Threats</w:t>
              <w:br/>
              <w:t>(Oorzaken)</w:t>
            </w:r>
          </w:p>
        </w:tc>
        <w:tc>
          <w:tcPr>
            <w:tcW w:type="dxa" w:w="1814"/>
            <w:shd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8"/>
              </w:rPr>
              <w:t>Preventieve</w:t>
              <w:br/>
              <w:t>Barrières</w:t>
            </w:r>
          </w:p>
        </w:tc>
        <w:tc>
          <w:tcPr>
            <w:tcW w:type="dxa" w:w="2154"/>
            <w:shd w:fill="FF6D00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8"/>
              </w:rPr>
              <w:t>⬇ TOP EVENT ⬇</w:t>
            </w:r>
          </w:p>
        </w:tc>
        <w:tc>
          <w:tcPr>
            <w:tcW w:type="dxa" w:w="1814"/>
            <w:shd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8"/>
              </w:rPr>
              <w:t>Gevolgen</w:t>
              <w:br/>
              <w:t>(Consequences)</w:t>
            </w:r>
          </w:p>
        </w:tc>
        <w:tc>
          <w:tcPr>
            <w:tcW w:type="dxa" w:w="1814"/>
            <w:shd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8"/>
              </w:rPr>
              <w:t>Mitigerende</w:t>
              <w:br/>
              <w:t>Barrières</w:t>
            </w:r>
          </w:p>
        </w:tc>
      </w:tr>
      <w:tr>
        <w:tc>
          <w:tcPr>
            <w:tcW w:type="dxa" w:w="1814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• Falen koelsysteem</w:t>
            </w:r>
          </w:p>
        </w:tc>
        <w:tc>
          <w:tcPr>
            <w:tcW w:type="dxa" w:w="1814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• Temperatuuralarm (hoog/laag)</w:t>
            </w:r>
          </w:p>
        </w:tc>
        <w:tc>
          <w:tcPr>
            <w:tcW w:type="dxa" w:w="2154"/>
            <w:shd w:fill="FFF3E0"/>
          </w:tcPr>
          <w:p>
            <w:r/>
            <w:r>
              <w:rPr>
                <w:rFonts w:ascii="Calibri" w:hAnsi="Calibri"/>
                <w:b/>
                <w:color w:val="FF6D00"/>
                <w:sz w:val="18"/>
              </w:rPr>
              <w:t>Runaway reaction in uitlogingsreactor</w:t>
            </w:r>
          </w:p>
        </w:tc>
        <w:tc>
          <w:tcPr>
            <w:tcW w:type="dxa" w:w="1814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• Overdruk reactor</w:t>
            </w:r>
          </w:p>
        </w:tc>
        <w:tc>
          <w:tcPr>
            <w:tcW w:type="dxa" w:w="1814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• Drukventiel (PSV)</w:t>
            </w:r>
          </w:p>
        </w:tc>
      </w:tr>
      <w:tr>
        <w:tc>
          <w:tcPr>
            <w:tcW w:type="dxa" w:w="1814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• Falen dosisering</w:t>
            </w:r>
          </w:p>
        </w:tc>
        <w:tc>
          <w:tcPr>
            <w:tcW w:type="dxa" w:w="1814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• SIS (Safety Instrumented System)</w:t>
            </w:r>
          </w:p>
        </w:tc>
        <w:tc>
          <w:tcPr>
            <w:tcW w:type="dxa" w:w="2154"/>
          </w:tcPr>
          <w:p>
            <w:r/>
          </w:p>
        </w:tc>
        <w:tc>
          <w:tcPr>
            <w:tcW w:type="dxa" w:w="1814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• Reactorruptuur</w:t>
            </w:r>
          </w:p>
        </w:tc>
        <w:tc>
          <w:tcPr>
            <w:tcW w:type="dxa" w:w="1814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• Blowdown-systeem</w:t>
            </w:r>
          </w:p>
        </w:tc>
      </w:tr>
      <w:tr>
        <w:tc>
          <w:tcPr>
            <w:tcW w:type="dxa" w:w="1814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• Verkeerde concentratie H₂SO₄</w:t>
            </w:r>
          </w:p>
        </w:tc>
        <w:tc>
          <w:tcPr>
            <w:tcW w:type="dxa" w:w="1814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• Dosisering-interlock</w:t>
            </w:r>
          </w:p>
        </w:tc>
        <w:tc>
          <w:tcPr>
            <w:tcW w:type="dxa" w:w="2154"/>
          </w:tcPr>
          <w:p>
            <w:r/>
          </w:p>
        </w:tc>
        <w:tc>
          <w:tcPr>
            <w:tcW w:type="dxa" w:w="1814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• Lekkage zwavelzuur</w:t>
            </w:r>
          </w:p>
        </w:tc>
        <w:tc>
          <w:tcPr>
            <w:tcW w:type="dxa" w:w="1814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• Noodafvoer (drain)</w:t>
            </w:r>
          </w:p>
        </w:tc>
      </w:tr>
      <w:tr>
        <w:tc>
          <w:tcPr>
            <w:tcW w:type="dxa" w:w="1814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• Falen roerder/menging</w:t>
            </w:r>
          </w:p>
        </w:tc>
        <w:tc>
          <w:tcPr>
            <w:tcW w:type="dxa" w:w="1814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• Noodkoeling (backup)</w:t>
            </w:r>
          </w:p>
        </w:tc>
        <w:tc>
          <w:tcPr>
            <w:tcW w:type="dxa" w:w="2154"/>
          </w:tcPr>
          <w:p>
            <w:r/>
          </w:p>
        </w:tc>
        <w:tc>
          <w:tcPr>
            <w:tcW w:type="dxa" w:w="1814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• Persoonlijk letsel</w:t>
            </w:r>
          </w:p>
        </w:tc>
        <w:tc>
          <w:tcPr>
            <w:tcW w:type="dxa" w:w="1814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• Evacuatieplan</w:t>
            </w:r>
          </w:p>
        </w:tc>
      </w:tr>
      <w:tr>
        <w:tc>
          <w:tcPr>
            <w:tcW w:type="dxa" w:w="1814"/>
          </w:tcPr>
          <w:p>
            <w:r/>
          </w:p>
        </w:tc>
        <w:tc>
          <w:tcPr>
            <w:tcW w:type="dxa" w:w="1814"/>
          </w:tcPr>
          <w:p>
            <w:r/>
          </w:p>
        </w:tc>
        <w:tc>
          <w:tcPr>
            <w:tcW w:type="dxa" w:w="2154"/>
          </w:tcPr>
          <w:p>
            <w:r/>
          </w:p>
        </w:tc>
        <w:tc>
          <w:tcPr>
            <w:tcW w:type="dxa" w:w="1814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• Milieulozing</w:t>
            </w:r>
          </w:p>
        </w:tc>
        <w:tc>
          <w:tcPr>
            <w:tcW w:type="dxa" w:w="1814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• Milieuafvang</w:t>
            </w:r>
          </w:p>
        </w:tc>
      </w:tr>
    </w:tbl>
    <w:p/>
    <w:p>
      <w:pPr>
        <w:pStyle w:val="Heading2"/>
      </w:pPr>
      <w:r>
        <w:rPr>
          <w:rFonts w:ascii="Calibri" w:hAnsi="Calibri"/>
          <w:color w:val="003366"/>
        </w:rPr>
        <w:t>3.5 Scenario 5: Blootstelling Chroom-6 in Staalslakken</w:t>
      </w:r>
    </w:p>
    <w:p>
      <w:r>
        <w:rPr>
          <w:rFonts w:ascii="Calibri" w:hAnsi="Calibri"/>
          <w:b/>
          <w:color w:val="1F2937"/>
          <w:sz w:val="22"/>
        </w:rPr>
        <w:t xml:space="preserve">Top Event: </w:t>
      </w:r>
      <w:r>
        <w:rPr>
          <w:rFonts w:ascii="Calibri" w:hAnsi="Calibri"/>
          <w:color w:val="1F2937"/>
          <w:sz w:val="22"/>
        </w:rPr>
        <w:t>Cr(VI) blootstelling bij slakverwerking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814"/>
            <w:shd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8"/>
              </w:rPr>
              <w:t>Threats</w:t>
              <w:br/>
              <w:t>(Oorzaken)</w:t>
            </w:r>
          </w:p>
        </w:tc>
        <w:tc>
          <w:tcPr>
            <w:tcW w:type="dxa" w:w="1814"/>
            <w:shd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8"/>
              </w:rPr>
              <w:t>Preventieve</w:t>
              <w:br/>
              <w:t>Barrières</w:t>
            </w:r>
          </w:p>
        </w:tc>
        <w:tc>
          <w:tcPr>
            <w:tcW w:type="dxa" w:w="2154"/>
            <w:shd w:fill="FF6D00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8"/>
              </w:rPr>
              <w:t>⬇ TOP EVENT ⬇</w:t>
            </w:r>
          </w:p>
        </w:tc>
        <w:tc>
          <w:tcPr>
            <w:tcW w:type="dxa" w:w="1814"/>
            <w:shd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8"/>
              </w:rPr>
              <w:t>Gevolgen</w:t>
              <w:br/>
              <w:t>(Consequences)</w:t>
            </w:r>
          </w:p>
        </w:tc>
        <w:tc>
          <w:tcPr>
            <w:tcW w:type="dxa" w:w="1814"/>
            <w:shd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8"/>
              </w:rPr>
              <w:t>Mitigerende</w:t>
              <w:br/>
              <w:t>Barrières</w:t>
            </w:r>
          </w:p>
        </w:tc>
      </w:tr>
      <w:tr>
        <w:tc>
          <w:tcPr>
            <w:tcW w:type="dxa" w:w="1814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• Stofvorming bij lossen/verwerken</w:t>
            </w:r>
          </w:p>
        </w:tc>
        <w:tc>
          <w:tcPr>
            <w:tcW w:type="dxa" w:w="1814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• Stofonderdrukking (besproeiing)</w:t>
            </w:r>
          </w:p>
        </w:tc>
        <w:tc>
          <w:tcPr>
            <w:tcW w:type="dxa" w:w="2154"/>
            <w:shd w:fill="FFF3E0"/>
          </w:tcPr>
          <w:p>
            <w:r/>
            <w:r>
              <w:rPr>
                <w:rFonts w:ascii="Calibri" w:hAnsi="Calibri"/>
                <w:b/>
                <w:color w:val="FF6D00"/>
                <w:sz w:val="18"/>
              </w:rPr>
              <w:t>Cr(VI) blootstelling bij slakverwerking</w:t>
            </w:r>
          </w:p>
        </w:tc>
        <w:tc>
          <w:tcPr>
            <w:tcW w:type="dxa" w:w="1814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• Inhalatie Cr(VI) carcinogeen</w:t>
            </w:r>
          </w:p>
        </w:tc>
        <w:tc>
          <w:tcPr>
            <w:tcW w:type="dxa" w:w="1814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• Medische screening (periodiek)</w:t>
            </w:r>
          </w:p>
        </w:tc>
      </w:tr>
      <w:tr>
        <w:tc>
          <w:tcPr>
            <w:tcW w:type="dxa" w:w="1814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• Gebrek aan PBM</w:t>
            </w:r>
          </w:p>
        </w:tc>
        <w:tc>
          <w:tcPr>
            <w:tcW w:type="dxa" w:w="1814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• Afzuiging bij bron</w:t>
            </w:r>
          </w:p>
        </w:tc>
        <w:tc>
          <w:tcPr>
            <w:tcW w:type="dxa" w:w="2154"/>
          </w:tcPr>
          <w:p>
            <w:r/>
          </w:p>
        </w:tc>
        <w:tc>
          <w:tcPr>
            <w:tcW w:type="dxa" w:w="1814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• Huidcontact Cr(VI)</w:t>
            </w:r>
          </w:p>
        </w:tc>
        <w:tc>
          <w:tcPr>
            <w:tcW w:type="dxa" w:w="1814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• Sanitair (wasmogelijkheden)</w:t>
            </w:r>
          </w:p>
        </w:tc>
      </w:tr>
      <w:tr>
        <w:tc>
          <w:tcPr>
            <w:tcW w:type="dxa" w:w="1814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• Falen afzuiging</w:t>
            </w:r>
          </w:p>
        </w:tc>
        <w:tc>
          <w:tcPr>
            <w:tcW w:type="dxa" w:w="1814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• Verplicht PBM (P3 masker)</w:t>
            </w:r>
          </w:p>
        </w:tc>
        <w:tc>
          <w:tcPr>
            <w:tcW w:type="dxa" w:w="2154"/>
          </w:tcPr>
          <w:p>
            <w:r/>
          </w:p>
        </w:tc>
        <w:tc>
          <w:tcPr>
            <w:tcW w:type="dxa" w:w="1814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• Longkanaal risico (carcinogeen)</w:t>
            </w:r>
          </w:p>
        </w:tc>
        <w:tc>
          <w:tcPr>
            <w:tcW w:type="dxa" w:w="1814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• Vervangingsplicht bij overschrijding</w:t>
            </w:r>
          </w:p>
        </w:tc>
      </w:tr>
      <w:tr>
        <w:tc>
          <w:tcPr>
            <w:tcW w:type="dxa" w:w="1814"/>
          </w:tcPr>
          <w:p>
            <w:r/>
          </w:p>
        </w:tc>
        <w:tc>
          <w:tcPr>
            <w:tcW w:type="dxa" w:w="1814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• Gesloten verwerking</w:t>
            </w:r>
          </w:p>
        </w:tc>
        <w:tc>
          <w:tcPr>
            <w:tcW w:type="dxa" w:w="2154"/>
          </w:tcPr>
          <w:p>
            <w:r/>
          </w:p>
        </w:tc>
        <w:tc>
          <w:tcPr>
            <w:tcW w:type="dxa" w:w="1814"/>
          </w:tcPr>
          <w:p>
            <w:r/>
          </w:p>
        </w:tc>
        <w:tc>
          <w:tcPr>
            <w:tcW w:type="dxa" w:w="1814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• Blootstellingsregistratie</w:t>
            </w:r>
          </w:p>
        </w:tc>
      </w:tr>
      <w:tr>
        <w:tc>
          <w:tcPr>
            <w:tcW w:type="dxa" w:w="1814"/>
          </w:tcPr>
          <w:p>
            <w:r/>
          </w:p>
        </w:tc>
        <w:tc>
          <w:tcPr>
            <w:tcW w:type="dxa" w:w="1814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• Continue monitoring</w:t>
            </w:r>
          </w:p>
        </w:tc>
        <w:tc>
          <w:tcPr>
            <w:tcW w:type="dxa" w:w="2154"/>
          </w:tcPr>
          <w:p>
            <w:r/>
          </w:p>
        </w:tc>
        <w:tc>
          <w:tcPr>
            <w:tcW w:type="dxa" w:w="1814"/>
          </w:tcPr>
          <w:p>
            <w:r/>
          </w:p>
        </w:tc>
        <w:tc>
          <w:tcPr>
            <w:tcW w:type="dxa" w:w="1814"/>
          </w:tcPr>
          <w:p>
            <w:r/>
          </w:p>
        </w:tc>
      </w:tr>
    </w:tbl>
    <w:p/>
    <w:p>
      <w:pPr>
        <w:pStyle w:val="Heading2"/>
      </w:pPr>
      <w:r>
        <w:rPr>
          <w:rFonts w:ascii="Calibri" w:hAnsi="Calibri"/>
          <w:color w:val="003366"/>
        </w:rPr>
        <w:t>3.6 Scenario 6: Milieu-incident (Lozing Zware Metalen)</w:t>
      </w:r>
    </w:p>
    <w:p>
      <w:r>
        <w:rPr>
          <w:rFonts w:ascii="Calibri" w:hAnsi="Calibri"/>
          <w:b/>
          <w:color w:val="1F2937"/>
          <w:sz w:val="22"/>
        </w:rPr>
        <w:t xml:space="preserve">Top Event: </w:t>
      </w:r>
      <w:r>
        <w:rPr>
          <w:rFonts w:ascii="Calibri" w:hAnsi="Calibri"/>
          <w:color w:val="1F2937"/>
          <w:sz w:val="22"/>
        </w:rPr>
        <w:t>Lozing van V/Cr/Fe-houdend afvalwater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814"/>
            <w:shd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8"/>
              </w:rPr>
              <w:t>Threats</w:t>
              <w:br/>
              <w:t>(Oorzaken)</w:t>
            </w:r>
          </w:p>
        </w:tc>
        <w:tc>
          <w:tcPr>
            <w:tcW w:type="dxa" w:w="1814"/>
            <w:shd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8"/>
              </w:rPr>
              <w:t>Preventieve</w:t>
              <w:br/>
              <w:t>Barrières</w:t>
            </w:r>
          </w:p>
        </w:tc>
        <w:tc>
          <w:tcPr>
            <w:tcW w:type="dxa" w:w="2154"/>
            <w:shd w:fill="FF6D00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8"/>
              </w:rPr>
              <w:t>⬇ TOP EVENT ⬇</w:t>
            </w:r>
          </w:p>
        </w:tc>
        <w:tc>
          <w:tcPr>
            <w:tcW w:type="dxa" w:w="1814"/>
            <w:shd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8"/>
              </w:rPr>
              <w:t>Gevolgen</w:t>
              <w:br/>
              <w:t>(Consequences)</w:t>
            </w:r>
          </w:p>
        </w:tc>
        <w:tc>
          <w:tcPr>
            <w:tcW w:type="dxa" w:w="1814"/>
            <w:shd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8"/>
              </w:rPr>
              <w:t>Mitigerende</w:t>
              <w:br/>
              <w:t>Barrières</w:t>
            </w:r>
          </w:p>
        </w:tc>
      </w:tr>
      <w:tr>
        <w:tc>
          <w:tcPr>
            <w:tcW w:type="dxa" w:w="1814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• Falen waterzuivering</w:t>
            </w:r>
          </w:p>
        </w:tc>
        <w:tc>
          <w:tcPr>
            <w:tcW w:type="dxa" w:w="1814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• Waterzuiveringsinstallatie</w:t>
            </w:r>
          </w:p>
        </w:tc>
        <w:tc>
          <w:tcPr>
            <w:tcW w:type="dxa" w:w="2154"/>
            <w:shd w:fill="FFF3E0"/>
          </w:tcPr>
          <w:p>
            <w:r/>
            <w:r>
              <w:rPr>
                <w:rFonts w:ascii="Calibri" w:hAnsi="Calibri"/>
                <w:b/>
                <w:color w:val="FF6D00"/>
                <w:sz w:val="18"/>
              </w:rPr>
              <w:t>Lozing van V/Cr/Fe-houdend afvalwater</w:t>
            </w:r>
          </w:p>
        </w:tc>
        <w:tc>
          <w:tcPr>
            <w:tcW w:type="dxa" w:w="1814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• Verontreiniging oppervlaktewater</w:t>
            </w:r>
          </w:p>
        </w:tc>
        <w:tc>
          <w:tcPr>
            <w:tcW w:type="dxa" w:w="1814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• Noodopvang bassin</w:t>
            </w:r>
          </w:p>
        </w:tc>
      </w:tr>
      <w:tr>
        <w:tc>
          <w:tcPr>
            <w:tcW w:type="dxa" w:w="1814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• Overloop bassin</w:t>
            </w:r>
          </w:p>
        </w:tc>
        <w:tc>
          <w:tcPr>
            <w:tcW w:type="dxa" w:w="1814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• Continue lozingsmonitoring</w:t>
            </w:r>
          </w:p>
        </w:tc>
        <w:tc>
          <w:tcPr>
            <w:tcW w:type="dxa" w:w="2154"/>
          </w:tcPr>
          <w:p>
            <w:r/>
          </w:p>
        </w:tc>
        <w:tc>
          <w:tcPr>
            <w:tcW w:type="dxa" w:w="1814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• Boetes / bestuursrechtelijke lasten</w:t>
            </w:r>
          </w:p>
        </w:tc>
        <w:tc>
          <w:tcPr>
            <w:tcW w:type="dxa" w:w="1814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• Bluswaterafvang</w:t>
            </w:r>
          </w:p>
        </w:tc>
      </w:tr>
      <w:tr>
        <w:tc>
          <w:tcPr>
            <w:tcW w:type="dxa" w:w="1814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• Lekkage leidingen</w:t>
            </w:r>
          </w:p>
        </w:tc>
        <w:tc>
          <w:tcPr>
            <w:tcW w:type="dxa" w:w="1814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• Dubbele wand bassin</w:t>
            </w:r>
          </w:p>
        </w:tc>
        <w:tc>
          <w:tcPr>
            <w:tcW w:type="dxa" w:w="2154"/>
          </w:tcPr>
          <w:p>
            <w:r/>
          </w:p>
        </w:tc>
        <w:tc>
          <w:tcPr>
            <w:tcW w:type="dxa" w:w="1814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• Reputatieschade</w:t>
            </w:r>
          </w:p>
        </w:tc>
        <w:tc>
          <w:tcPr>
            <w:tcW w:type="dxa" w:w="1814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• Milieualarm systeem</w:t>
            </w:r>
          </w:p>
        </w:tc>
      </w:tr>
      <w:tr>
        <w:tc>
          <w:tcPr>
            <w:tcW w:type="dxa" w:w="1814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• Human error bij dosering</w:t>
            </w:r>
          </w:p>
        </w:tc>
        <w:tc>
          <w:tcPr>
            <w:tcW w:type="dxa" w:w="1814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• Alarm pH / zware metalen</w:t>
            </w:r>
          </w:p>
        </w:tc>
        <w:tc>
          <w:tcPr>
            <w:tcW w:type="dxa" w:w="2154"/>
          </w:tcPr>
          <w:p>
            <w:r/>
          </w:p>
        </w:tc>
        <w:tc>
          <w:tcPr>
            <w:tcW w:type="dxa" w:w="1814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• Productiestilstand</w:t>
            </w:r>
          </w:p>
        </w:tc>
        <w:tc>
          <w:tcPr>
            <w:tcW w:type="dxa" w:w="1814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• Communicatieplan (omgeving)</w:t>
            </w:r>
          </w:p>
        </w:tc>
      </w:tr>
    </w:tbl>
    <w:p/>
    <w:p>
      <w:r>
        <w:br w:type="page"/>
      </w:r>
    </w:p>
    <w:p>
      <w:pPr>
        <w:pStyle w:val="Heading1"/>
      </w:pPr>
      <w:r>
        <w:rPr>
          <w:rFonts w:ascii="Calibri" w:hAnsi="Calibri"/>
          <w:color w:val="003366"/>
        </w:rPr>
        <w:t>4. Barrière-effectiviteit</w:t>
      </w:r>
    </w:p>
    <w:p>
      <w:r>
        <w:rPr>
          <w:rFonts w:ascii="Calibri" w:hAnsi="Calibri"/>
          <w:b w:val="0"/>
          <w:color w:val="1F2937"/>
          <w:sz w:val="22"/>
        </w:rPr>
        <w:t>Onderstaande tabel geeft per scenario de beoordeling van elke barrière weer op effectiviteit en betrouwbaarheid [1][2][3].</w:t>
      </w:r>
    </w:p>
    <w:p>
      <w:pPr>
        <w:pStyle w:val="Heading3"/>
      </w:pPr>
      <w:r>
        <w:rPr>
          <w:rFonts w:ascii="Calibri" w:hAnsi="Calibri"/>
          <w:color w:val="003366"/>
        </w:rPr>
        <w:t>1. H₂SO₄ Lekkage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  <w:shd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Barrière</w:t>
            </w:r>
          </w:p>
        </w:tc>
        <w:tc>
          <w:tcPr>
            <w:tcW w:type="dxa" w:w="2880"/>
            <w:shd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Effectiviteit</w:t>
            </w:r>
          </w:p>
        </w:tc>
        <w:tc>
          <w:tcPr>
            <w:tcW w:type="dxa" w:w="2880"/>
            <w:shd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Betrouwbaarheid</w:t>
            </w:r>
          </w:p>
        </w:tc>
      </w:tr>
      <w:tr>
        <w:tc>
          <w:tcPr>
            <w:tcW w:type="dxa" w:w="2880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Inspectieprogramma</w:t>
            </w:r>
          </w:p>
        </w:tc>
        <w:tc>
          <w:tcPr>
            <w:tcW w:type="dxa" w:w="2880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Hoog</w:t>
            </w:r>
          </w:p>
        </w:tc>
        <w:tc>
          <w:tcPr>
            <w:tcW w:type="dxa" w:w="2880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Bewezen</w:t>
            </w:r>
          </w:p>
        </w:tc>
      </w:tr>
      <w:tr>
        <w:tc>
          <w:tcPr>
            <w:tcW w:type="dxa" w:w="2880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Corrosiemonitoring</w:t>
            </w:r>
          </w:p>
        </w:tc>
        <w:tc>
          <w:tcPr>
            <w:tcW w:type="dxa" w:w="2880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Hoog</w:t>
            </w:r>
          </w:p>
        </w:tc>
        <w:tc>
          <w:tcPr>
            <w:tcW w:type="dxa" w:w="2880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Bewezen</w:t>
            </w:r>
          </w:p>
        </w:tc>
      </w:tr>
      <w:tr>
        <w:tc>
          <w:tcPr>
            <w:tcW w:type="dxa" w:w="2880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Dubbele wand leidingen</w:t>
            </w:r>
          </w:p>
        </w:tc>
        <w:tc>
          <w:tcPr>
            <w:tcW w:type="dxa" w:w="2880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Hoog</w:t>
            </w:r>
          </w:p>
        </w:tc>
        <w:tc>
          <w:tcPr>
            <w:tcW w:type="dxa" w:w="2880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Bewezen</w:t>
            </w:r>
          </w:p>
        </w:tc>
      </w:tr>
      <w:tr>
        <w:tc>
          <w:tcPr>
            <w:tcW w:type="dxa" w:w="2880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Training &amp; certificering</w:t>
            </w:r>
          </w:p>
        </w:tc>
        <w:tc>
          <w:tcPr>
            <w:tcW w:type="dxa" w:w="2880"/>
            <w:shd w:fill="FEF3C7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Gemiddeld</w:t>
            </w:r>
          </w:p>
        </w:tc>
        <w:tc>
          <w:tcPr>
            <w:tcW w:type="dxa" w:w="2880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Bewezen</w:t>
            </w:r>
          </w:p>
        </w:tc>
      </w:tr>
      <w:tr>
        <w:tc>
          <w:tcPr>
            <w:tcW w:type="dxa" w:w="2880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Werkvergunningensysteem</w:t>
            </w:r>
          </w:p>
        </w:tc>
        <w:tc>
          <w:tcPr>
            <w:tcW w:type="dxa" w:w="2880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Hoog</w:t>
            </w:r>
          </w:p>
        </w:tc>
        <w:tc>
          <w:tcPr>
            <w:tcW w:type="dxa" w:w="2880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Bewezen</w:t>
            </w:r>
          </w:p>
        </w:tc>
      </w:tr>
      <w:tr>
        <w:tc>
          <w:tcPr>
            <w:tcW w:type="dxa" w:w="2880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Nooddouches</w:t>
            </w:r>
          </w:p>
        </w:tc>
        <w:tc>
          <w:tcPr>
            <w:tcW w:type="dxa" w:w="2880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Hoog</w:t>
            </w:r>
          </w:p>
        </w:tc>
        <w:tc>
          <w:tcPr>
            <w:tcW w:type="dxa" w:w="2880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Bewezen</w:t>
            </w:r>
          </w:p>
        </w:tc>
      </w:tr>
      <w:tr>
        <w:tc>
          <w:tcPr>
            <w:tcW w:type="dxa" w:w="2880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Opvangbak 110%</w:t>
            </w:r>
          </w:p>
        </w:tc>
        <w:tc>
          <w:tcPr>
            <w:tcW w:type="dxa" w:w="2880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Hoog</w:t>
            </w:r>
          </w:p>
        </w:tc>
        <w:tc>
          <w:tcPr>
            <w:tcW w:type="dxa" w:w="2880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Bewezen</w:t>
            </w:r>
          </w:p>
        </w:tc>
      </w:tr>
      <w:tr>
        <w:tc>
          <w:tcPr>
            <w:tcW w:type="dxa" w:w="2880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Evacuatieplan</w:t>
            </w:r>
          </w:p>
        </w:tc>
        <w:tc>
          <w:tcPr>
            <w:tcW w:type="dxa" w:w="2880"/>
            <w:shd w:fill="FEF3C7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Gemiddeld</w:t>
            </w:r>
          </w:p>
        </w:tc>
        <w:tc>
          <w:tcPr>
            <w:tcW w:type="dxa" w:w="2880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Niet-getest</w:t>
            </w:r>
          </w:p>
        </w:tc>
      </w:tr>
    </w:tbl>
    <w:p>
      <w:pPr>
        <w:pStyle w:val="Heading3"/>
      </w:pPr>
      <w:r>
        <w:rPr>
          <w:rFonts w:ascii="Calibri" w:hAnsi="Calibri"/>
          <w:color w:val="003366"/>
        </w:rPr>
        <w:t>2. V₂O₅ Stofwolk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  <w:shd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Barrière</w:t>
            </w:r>
          </w:p>
        </w:tc>
        <w:tc>
          <w:tcPr>
            <w:tcW w:type="dxa" w:w="2880"/>
            <w:shd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Effectiviteit</w:t>
            </w:r>
          </w:p>
        </w:tc>
        <w:tc>
          <w:tcPr>
            <w:tcW w:type="dxa" w:w="2880"/>
            <w:shd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Betrouwbaarheid</w:t>
            </w:r>
          </w:p>
        </w:tc>
      </w:tr>
      <w:tr>
        <w:tc>
          <w:tcPr>
            <w:tcW w:type="dxa" w:w="2880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HEPA-filtratie</w:t>
            </w:r>
          </w:p>
        </w:tc>
        <w:tc>
          <w:tcPr>
            <w:tcW w:type="dxa" w:w="2880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Hoog</w:t>
            </w:r>
          </w:p>
        </w:tc>
        <w:tc>
          <w:tcPr>
            <w:tcW w:type="dxa" w:w="2880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Bewezen</w:t>
            </w:r>
          </w:p>
        </w:tc>
      </w:tr>
      <w:tr>
        <w:tc>
          <w:tcPr>
            <w:tcW w:type="dxa" w:w="2880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Afgesloten systeem</w:t>
            </w:r>
          </w:p>
        </w:tc>
        <w:tc>
          <w:tcPr>
            <w:tcW w:type="dxa" w:w="2880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Hoog</w:t>
            </w:r>
          </w:p>
        </w:tc>
        <w:tc>
          <w:tcPr>
            <w:tcW w:type="dxa" w:w="2880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Bewezen</w:t>
            </w:r>
          </w:p>
        </w:tc>
      </w:tr>
      <w:tr>
        <w:tc>
          <w:tcPr>
            <w:tcW w:type="dxa" w:w="2880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ATEX-apparatuur</w:t>
            </w:r>
          </w:p>
        </w:tc>
        <w:tc>
          <w:tcPr>
            <w:tcW w:type="dxa" w:w="2880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Hoog</w:t>
            </w:r>
          </w:p>
        </w:tc>
        <w:tc>
          <w:tcPr>
            <w:tcW w:type="dxa" w:w="2880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Bewezen</w:t>
            </w:r>
          </w:p>
        </w:tc>
      </w:tr>
      <w:tr>
        <w:tc>
          <w:tcPr>
            <w:tcW w:type="dxa" w:w="2880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Stofvrije verpakking</w:t>
            </w:r>
          </w:p>
        </w:tc>
        <w:tc>
          <w:tcPr>
            <w:tcW w:type="dxa" w:w="2880"/>
            <w:shd w:fill="FEF3C7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Gemiddeld</w:t>
            </w:r>
          </w:p>
        </w:tc>
        <w:tc>
          <w:tcPr>
            <w:tcW w:type="dxa" w:w="2880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Niet-getest</w:t>
            </w:r>
          </w:p>
        </w:tc>
      </w:tr>
      <w:tr>
        <w:tc>
          <w:tcPr>
            <w:tcW w:type="dxa" w:w="2880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Luchtmonitoring</w:t>
            </w:r>
          </w:p>
        </w:tc>
        <w:tc>
          <w:tcPr>
            <w:tcW w:type="dxa" w:w="2880"/>
            <w:shd w:fill="FEF3C7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Gemiddeld</w:t>
            </w:r>
          </w:p>
        </w:tc>
        <w:tc>
          <w:tcPr>
            <w:tcW w:type="dxa" w:w="2880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Niet-getest</w:t>
            </w:r>
          </w:p>
        </w:tc>
      </w:tr>
      <w:tr>
        <w:tc>
          <w:tcPr>
            <w:tcW w:type="dxa" w:w="2880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Ademhalingsbescherming P3</w:t>
            </w:r>
          </w:p>
        </w:tc>
        <w:tc>
          <w:tcPr>
            <w:tcW w:type="dxa" w:w="2880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Hoog</w:t>
            </w:r>
          </w:p>
        </w:tc>
        <w:tc>
          <w:tcPr>
            <w:tcW w:type="dxa" w:w="2880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Bewezen</w:t>
            </w:r>
          </w:p>
        </w:tc>
      </w:tr>
      <w:tr>
        <w:tc>
          <w:tcPr>
            <w:tcW w:type="dxa" w:w="2880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Ontsmettingsdouches</w:t>
            </w:r>
          </w:p>
        </w:tc>
        <w:tc>
          <w:tcPr>
            <w:tcW w:type="dxa" w:w="2880"/>
            <w:shd w:fill="FEF3C7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Gemiddeld</w:t>
            </w:r>
          </w:p>
        </w:tc>
        <w:tc>
          <w:tcPr>
            <w:tcW w:type="dxa" w:w="2880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Bewezen</w:t>
            </w:r>
          </w:p>
        </w:tc>
      </w:tr>
    </w:tbl>
    <w:p>
      <w:pPr>
        <w:pStyle w:val="Heading3"/>
      </w:pPr>
      <w:r>
        <w:rPr>
          <w:rFonts w:ascii="Calibri" w:hAnsi="Calibri"/>
          <w:color w:val="003366"/>
        </w:rPr>
        <w:t>3. Stofexplosie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  <w:shd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Barrière</w:t>
            </w:r>
          </w:p>
        </w:tc>
        <w:tc>
          <w:tcPr>
            <w:tcW w:type="dxa" w:w="2880"/>
            <w:shd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Effectiviteit</w:t>
            </w:r>
          </w:p>
        </w:tc>
        <w:tc>
          <w:tcPr>
            <w:tcW w:type="dxa" w:w="2880"/>
            <w:shd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Betrouwbaarheid</w:t>
            </w:r>
          </w:p>
        </w:tc>
      </w:tr>
      <w:tr>
        <w:tc>
          <w:tcPr>
            <w:tcW w:type="dxa" w:w="2880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ATEX zone 20/21</w:t>
            </w:r>
          </w:p>
        </w:tc>
        <w:tc>
          <w:tcPr>
            <w:tcW w:type="dxa" w:w="2880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Hoog</w:t>
            </w:r>
          </w:p>
        </w:tc>
        <w:tc>
          <w:tcPr>
            <w:tcW w:type="dxa" w:w="2880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Bewezen</w:t>
            </w:r>
          </w:p>
        </w:tc>
      </w:tr>
      <w:tr>
        <w:tc>
          <w:tcPr>
            <w:tcW w:type="dxa" w:w="2880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Aarding &amp; equipotentiaal</w:t>
            </w:r>
          </w:p>
        </w:tc>
        <w:tc>
          <w:tcPr>
            <w:tcW w:type="dxa" w:w="2880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Hoog</w:t>
            </w:r>
          </w:p>
        </w:tc>
        <w:tc>
          <w:tcPr>
            <w:tcW w:type="dxa" w:w="2880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Bewezen</w:t>
            </w:r>
          </w:p>
        </w:tc>
      </w:tr>
      <w:tr>
        <w:tc>
          <w:tcPr>
            <w:tcW w:type="dxa" w:w="2880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Explosiebeveiliging</w:t>
            </w:r>
          </w:p>
        </w:tc>
        <w:tc>
          <w:tcPr>
            <w:tcW w:type="dxa" w:w="2880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Hoog</w:t>
            </w:r>
          </w:p>
        </w:tc>
        <w:tc>
          <w:tcPr>
            <w:tcW w:type="dxa" w:w="2880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Bewezen</w:t>
            </w:r>
          </w:p>
        </w:tc>
      </w:tr>
      <w:tr>
        <w:tc>
          <w:tcPr>
            <w:tcW w:type="dxa" w:w="2880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Temperatuurmonitoring</w:t>
            </w:r>
          </w:p>
        </w:tc>
        <w:tc>
          <w:tcPr>
            <w:tcW w:type="dxa" w:w="2880"/>
            <w:shd w:fill="FEF3C7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Gemiddeld</w:t>
            </w:r>
          </w:p>
        </w:tc>
        <w:tc>
          <w:tcPr>
            <w:tcW w:type="dxa" w:w="2880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Niet-getest</w:t>
            </w:r>
          </w:p>
        </w:tc>
      </w:tr>
      <w:tr>
        <w:tc>
          <w:tcPr>
            <w:tcW w:type="dxa" w:w="2880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Reinigingsschema</w:t>
            </w:r>
          </w:p>
        </w:tc>
        <w:tc>
          <w:tcPr>
            <w:tcW w:type="dxa" w:w="2880"/>
            <w:shd w:fill="FEF3C7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Gemiddeld</w:t>
            </w:r>
          </w:p>
        </w:tc>
        <w:tc>
          <w:tcPr>
            <w:tcW w:type="dxa" w:w="2880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Verouderd</w:t>
            </w:r>
          </w:p>
        </w:tc>
      </w:tr>
      <w:tr>
        <w:tc>
          <w:tcPr>
            <w:tcW w:type="dxa" w:w="2880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Explosieontlasting</w:t>
            </w:r>
          </w:p>
        </w:tc>
        <w:tc>
          <w:tcPr>
            <w:tcW w:type="dxa" w:w="2880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Hoog</w:t>
            </w:r>
          </w:p>
        </w:tc>
        <w:tc>
          <w:tcPr>
            <w:tcW w:type="dxa" w:w="2880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Bewezen</w:t>
            </w:r>
          </w:p>
        </w:tc>
      </w:tr>
      <w:tr>
        <w:tc>
          <w:tcPr>
            <w:tcW w:type="dxa" w:w="2880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Drukbestendige constructie</w:t>
            </w:r>
          </w:p>
        </w:tc>
        <w:tc>
          <w:tcPr>
            <w:tcW w:type="dxa" w:w="2880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Hoog</w:t>
            </w:r>
          </w:p>
        </w:tc>
        <w:tc>
          <w:tcPr>
            <w:tcW w:type="dxa" w:w="2880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Bewezen</w:t>
            </w:r>
          </w:p>
        </w:tc>
      </w:tr>
    </w:tbl>
    <w:p>
      <w:pPr>
        <w:pStyle w:val="Heading3"/>
      </w:pPr>
      <w:r>
        <w:rPr>
          <w:rFonts w:ascii="Calibri" w:hAnsi="Calibri"/>
          <w:color w:val="003366"/>
        </w:rPr>
        <w:t>4. Exotherme Reactie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  <w:shd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Barrière</w:t>
            </w:r>
          </w:p>
        </w:tc>
        <w:tc>
          <w:tcPr>
            <w:tcW w:type="dxa" w:w="2880"/>
            <w:shd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Effectiviteit</w:t>
            </w:r>
          </w:p>
        </w:tc>
        <w:tc>
          <w:tcPr>
            <w:tcW w:type="dxa" w:w="2880"/>
            <w:shd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Betrouwbaarheid</w:t>
            </w:r>
          </w:p>
        </w:tc>
      </w:tr>
      <w:tr>
        <w:tc>
          <w:tcPr>
            <w:tcW w:type="dxa" w:w="2880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Temperatuuralarm</w:t>
            </w:r>
          </w:p>
        </w:tc>
        <w:tc>
          <w:tcPr>
            <w:tcW w:type="dxa" w:w="2880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Hoog</w:t>
            </w:r>
          </w:p>
        </w:tc>
        <w:tc>
          <w:tcPr>
            <w:tcW w:type="dxa" w:w="2880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Bewezen</w:t>
            </w:r>
          </w:p>
        </w:tc>
      </w:tr>
      <w:tr>
        <w:tc>
          <w:tcPr>
            <w:tcW w:type="dxa" w:w="2880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SIS</w:t>
            </w:r>
          </w:p>
        </w:tc>
        <w:tc>
          <w:tcPr>
            <w:tcW w:type="dxa" w:w="2880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Hoog</w:t>
            </w:r>
          </w:p>
        </w:tc>
        <w:tc>
          <w:tcPr>
            <w:tcW w:type="dxa" w:w="2880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Niet-getest</w:t>
            </w:r>
          </w:p>
        </w:tc>
      </w:tr>
      <w:tr>
        <w:tc>
          <w:tcPr>
            <w:tcW w:type="dxa" w:w="2880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Dosisering-interlock</w:t>
            </w:r>
          </w:p>
        </w:tc>
        <w:tc>
          <w:tcPr>
            <w:tcW w:type="dxa" w:w="2880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Hoog</w:t>
            </w:r>
          </w:p>
        </w:tc>
        <w:tc>
          <w:tcPr>
            <w:tcW w:type="dxa" w:w="2880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Bewezen</w:t>
            </w:r>
          </w:p>
        </w:tc>
      </w:tr>
      <w:tr>
        <w:tc>
          <w:tcPr>
            <w:tcW w:type="dxa" w:w="2880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Noodkoeling</w:t>
            </w:r>
          </w:p>
        </w:tc>
        <w:tc>
          <w:tcPr>
            <w:tcW w:type="dxa" w:w="2880"/>
            <w:shd w:fill="FEF3C7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Gemiddeld</w:t>
            </w:r>
          </w:p>
        </w:tc>
        <w:tc>
          <w:tcPr>
            <w:tcW w:type="dxa" w:w="2880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Niet-getest</w:t>
            </w:r>
          </w:p>
        </w:tc>
      </w:tr>
      <w:tr>
        <w:tc>
          <w:tcPr>
            <w:tcW w:type="dxa" w:w="2880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Drukventiel PSV</w:t>
            </w:r>
          </w:p>
        </w:tc>
        <w:tc>
          <w:tcPr>
            <w:tcW w:type="dxa" w:w="2880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Hoog</w:t>
            </w:r>
          </w:p>
        </w:tc>
        <w:tc>
          <w:tcPr>
            <w:tcW w:type="dxa" w:w="2880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Bewezen</w:t>
            </w:r>
          </w:p>
        </w:tc>
      </w:tr>
      <w:tr>
        <w:tc>
          <w:tcPr>
            <w:tcW w:type="dxa" w:w="2880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Blowdown-systeem</w:t>
            </w:r>
          </w:p>
        </w:tc>
        <w:tc>
          <w:tcPr>
            <w:tcW w:type="dxa" w:w="2880"/>
            <w:shd w:fill="FEF3C7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Gemiddeld</w:t>
            </w:r>
          </w:p>
        </w:tc>
        <w:tc>
          <w:tcPr>
            <w:tcW w:type="dxa" w:w="2880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Niet-getest</w:t>
            </w:r>
          </w:p>
        </w:tc>
      </w:tr>
    </w:tbl>
    <w:p>
      <w:pPr>
        <w:pStyle w:val="Heading3"/>
      </w:pPr>
      <w:r>
        <w:rPr>
          <w:rFonts w:ascii="Calibri" w:hAnsi="Calibri"/>
          <w:color w:val="003366"/>
        </w:rPr>
        <w:t>5. Cr(VI) Blootstelling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  <w:shd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Barrière</w:t>
            </w:r>
          </w:p>
        </w:tc>
        <w:tc>
          <w:tcPr>
            <w:tcW w:type="dxa" w:w="2880"/>
            <w:shd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Effectiviteit</w:t>
            </w:r>
          </w:p>
        </w:tc>
        <w:tc>
          <w:tcPr>
            <w:tcW w:type="dxa" w:w="2880"/>
            <w:shd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Betrouwbaarheid</w:t>
            </w:r>
          </w:p>
        </w:tc>
      </w:tr>
      <w:tr>
        <w:tc>
          <w:tcPr>
            <w:tcW w:type="dxa" w:w="2880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Stofonderdrukking</w:t>
            </w:r>
          </w:p>
        </w:tc>
        <w:tc>
          <w:tcPr>
            <w:tcW w:type="dxa" w:w="2880"/>
            <w:shd w:fill="FEF3C7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Gemiddeld</w:t>
            </w:r>
          </w:p>
        </w:tc>
        <w:tc>
          <w:tcPr>
            <w:tcW w:type="dxa" w:w="2880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Niet-getest</w:t>
            </w:r>
          </w:p>
        </w:tc>
      </w:tr>
      <w:tr>
        <w:tc>
          <w:tcPr>
            <w:tcW w:type="dxa" w:w="2880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Afzuiging bij bron</w:t>
            </w:r>
          </w:p>
        </w:tc>
        <w:tc>
          <w:tcPr>
            <w:tcW w:type="dxa" w:w="2880"/>
            <w:shd w:fill="FEF3C7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Gemiddeld</w:t>
            </w:r>
          </w:p>
        </w:tc>
        <w:tc>
          <w:tcPr>
            <w:tcW w:type="dxa" w:w="2880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Niet-getest</w:t>
            </w:r>
          </w:p>
        </w:tc>
      </w:tr>
      <w:tr>
        <w:tc>
          <w:tcPr>
            <w:tcW w:type="dxa" w:w="2880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Verplicht PBM (P3)</w:t>
            </w:r>
          </w:p>
        </w:tc>
        <w:tc>
          <w:tcPr>
            <w:tcW w:type="dxa" w:w="2880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Hoog</w:t>
            </w:r>
          </w:p>
        </w:tc>
        <w:tc>
          <w:tcPr>
            <w:tcW w:type="dxa" w:w="2880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Bewezen</w:t>
            </w:r>
          </w:p>
        </w:tc>
      </w:tr>
      <w:tr>
        <w:tc>
          <w:tcPr>
            <w:tcW w:type="dxa" w:w="2880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Gesloten verwerking</w:t>
            </w:r>
          </w:p>
        </w:tc>
        <w:tc>
          <w:tcPr>
            <w:tcW w:type="dxa" w:w="2880"/>
            <w:shd w:fill="FEE2E2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Laag</w:t>
            </w:r>
          </w:p>
        </w:tc>
        <w:tc>
          <w:tcPr>
            <w:tcW w:type="dxa" w:w="2880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Niet-getest</w:t>
            </w:r>
          </w:p>
        </w:tc>
      </w:tr>
      <w:tr>
        <w:tc>
          <w:tcPr>
            <w:tcW w:type="dxa" w:w="2880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Monitoring</w:t>
            </w:r>
          </w:p>
        </w:tc>
        <w:tc>
          <w:tcPr>
            <w:tcW w:type="dxa" w:w="2880"/>
            <w:shd w:fill="FEF3C7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Gemiddeld</w:t>
            </w:r>
          </w:p>
        </w:tc>
        <w:tc>
          <w:tcPr>
            <w:tcW w:type="dxa" w:w="2880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Niet-getest</w:t>
            </w:r>
          </w:p>
        </w:tc>
      </w:tr>
      <w:tr>
        <w:tc>
          <w:tcPr>
            <w:tcW w:type="dxa" w:w="2880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Medische screening</w:t>
            </w:r>
          </w:p>
        </w:tc>
        <w:tc>
          <w:tcPr>
            <w:tcW w:type="dxa" w:w="2880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Hoog</w:t>
            </w:r>
          </w:p>
        </w:tc>
        <w:tc>
          <w:tcPr>
            <w:tcW w:type="dxa" w:w="2880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Bewezen</w:t>
            </w:r>
          </w:p>
        </w:tc>
      </w:tr>
    </w:tbl>
    <w:p>
      <w:pPr>
        <w:pStyle w:val="Heading3"/>
      </w:pPr>
      <w:r>
        <w:rPr>
          <w:rFonts w:ascii="Calibri" w:hAnsi="Calibri"/>
          <w:color w:val="003366"/>
        </w:rPr>
        <w:t>6. Milieu-incident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  <w:shd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Barrière</w:t>
            </w:r>
          </w:p>
        </w:tc>
        <w:tc>
          <w:tcPr>
            <w:tcW w:type="dxa" w:w="2880"/>
            <w:shd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Effectiviteit</w:t>
            </w:r>
          </w:p>
        </w:tc>
        <w:tc>
          <w:tcPr>
            <w:tcW w:type="dxa" w:w="2880"/>
            <w:shd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Betrouwbaarheid</w:t>
            </w:r>
          </w:p>
        </w:tc>
      </w:tr>
      <w:tr>
        <w:tc>
          <w:tcPr>
            <w:tcW w:type="dxa" w:w="2880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Waterzuiveringsinstallatie</w:t>
            </w:r>
          </w:p>
        </w:tc>
        <w:tc>
          <w:tcPr>
            <w:tcW w:type="dxa" w:w="2880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Hoog</w:t>
            </w:r>
          </w:p>
        </w:tc>
        <w:tc>
          <w:tcPr>
            <w:tcW w:type="dxa" w:w="2880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Bewezen</w:t>
            </w:r>
          </w:p>
        </w:tc>
      </w:tr>
      <w:tr>
        <w:tc>
          <w:tcPr>
            <w:tcW w:type="dxa" w:w="2880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Lozingsmonitoring</w:t>
            </w:r>
          </w:p>
        </w:tc>
        <w:tc>
          <w:tcPr>
            <w:tcW w:type="dxa" w:w="2880"/>
            <w:shd w:fill="FEF3C7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Gemiddeld</w:t>
            </w:r>
          </w:p>
        </w:tc>
        <w:tc>
          <w:tcPr>
            <w:tcW w:type="dxa" w:w="2880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Niet-getest</w:t>
            </w:r>
          </w:p>
        </w:tc>
      </w:tr>
      <w:tr>
        <w:tc>
          <w:tcPr>
            <w:tcW w:type="dxa" w:w="2880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Dubbele wand bassin</w:t>
            </w:r>
          </w:p>
        </w:tc>
        <w:tc>
          <w:tcPr>
            <w:tcW w:type="dxa" w:w="2880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Hoog</w:t>
            </w:r>
          </w:p>
        </w:tc>
        <w:tc>
          <w:tcPr>
            <w:tcW w:type="dxa" w:w="2880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Bewezen</w:t>
            </w:r>
          </w:p>
        </w:tc>
      </w:tr>
      <w:tr>
        <w:tc>
          <w:tcPr>
            <w:tcW w:type="dxa" w:w="2880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Alarm pH/zware metalen</w:t>
            </w:r>
          </w:p>
        </w:tc>
        <w:tc>
          <w:tcPr>
            <w:tcW w:type="dxa" w:w="2880"/>
            <w:shd w:fill="FEF3C7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Gemiddeld</w:t>
            </w:r>
          </w:p>
        </w:tc>
        <w:tc>
          <w:tcPr>
            <w:tcW w:type="dxa" w:w="2880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Niet-getest</w:t>
            </w:r>
          </w:p>
        </w:tc>
      </w:tr>
      <w:tr>
        <w:tc>
          <w:tcPr>
            <w:tcW w:type="dxa" w:w="2880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Noodopvang</w:t>
            </w:r>
          </w:p>
        </w:tc>
        <w:tc>
          <w:tcPr>
            <w:tcW w:type="dxa" w:w="2880"/>
            <w:shd w:fill="FEF3C7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Gemiddeld</w:t>
            </w:r>
          </w:p>
        </w:tc>
        <w:tc>
          <w:tcPr>
            <w:tcW w:type="dxa" w:w="2880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Niet-getest</w:t>
            </w:r>
          </w:p>
        </w:tc>
      </w:tr>
    </w:tbl>
    <w:p>
      <w:r>
        <w:br w:type="page"/>
      </w:r>
    </w:p>
    <w:p>
      <w:pPr>
        <w:pStyle w:val="Heading1"/>
      </w:pPr>
      <w:r>
        <w:rPr>
          <w:rFonts w:ascii="Calibri" w:hAnsi="Calibri"/>
          <w:color w:val="003366"/>
        </w:rPr>
        <w:t>5. Criticality Matrix</w:t>
      </w:r>
    </w:p>
    <w:p>
      <w:r>
        <w:rPr>
          <w:rFonts w:ascii="Calibri" w:hAnsi="Calibri"/>
          <w:b w:val="0"/>
          <w:color w:val="1F2937"/>
          <w:sz w:val="22"/>
        </w:rPr>
        <w:t>Overzicht van de 6 kritieke risicoscenario's met kans-, effect- en restrisicoscores [1][2].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  <w:shd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Scenario</w:t>
            </w:r>
          </w:p>
        </w:tc>
        <w:tc>
          <w:tcPr>
            <w:tcW w:type="dxa" w:w="1440"/>
            <w:shd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Kans</w:t>
            </w:r>
          </w:p>
        </w:tc>
        <w:tc>
          <w:tcPr>
            <w:tcW w:type="dxa" w:w="1440"/>
            <w:shd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Effect</w:t>
            </w:r>
          </w:p>
        </w:tc>
        <w:tc>
          <w:tcPr>
            <w:tcW w:type="dxa" w:w="1440"/>
            <w:shd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Restrisico</w:t>
            </w:r>
          </w:p>
        </w:tc>
        <w:tc>
          <w:tcPr>
            <w:tcW w:type="dxa" w:w="1440"/>
            <w:shd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GAP?</w:t>
            </w:r>
          </w:p>
        </w:tc>
        <w:tc>
          <w:tcPr>
            <w:tcW w:type="dxa" w:w="1440"/>
            <w:shd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Prioriteit</w:t>
            </w:r>
          </w:p>
        </w:tc>
      </w:tr>
      <w:tr>
        <w:tc>
          <w:tcPr>
            <w:tcW w:type="dxa" w:w="1440"/>
          </w:tcPr>
          <w:p>
            <w:r/>
            <w:r>
              <w:rPr>
                <w:rFonts w:ascii="Calibri" w:hAnsi="Calibri"/>
                <w:b/>
                <w:color w:val="1F2937"/>
                <w:sz w:val="20"/>
              </w:rPr>
              <w:t>1. H₂SO₄ lekkage</w:t>
            </w:r>
          </w:p>
        </w:tc>
        <w:tc>
          <w:tcPr>
            <w:tcW w:type="dxa" w:w="1440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2</w:t>
            </w:r>
          </w:p>
        </w:tc>
        <w:tc>
          <w:tcPr>
            <w:tcW w:type="dxa" w:w="1440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4</w:t>
            </w:r>
          </w:p>
        </w:tc>
        <w:tc>
          <w:tcPr>
            <w:tcW w:type="dxa" w:w="1440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8</w:t>
            </w:r>
          </w:p>
        </w:tc>
        <w:tc>
          <w:tcPr>
            <w:tcW w:type="dxa" w:w="1440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Nee</w:t>
            </w:r>
          </w:p>
        </w:tc>
        <w:tc>
          <w:tcPr>
            <w:tcW w:type="dxa" w:w="1440"/>
            <w:shd w:fill="F59E0B"/>
          </w:tcPr>
          <w:p>
            <w:r>
              <w:rPr>
                <w:color w:val="FFFFFF"/>
              </w:rPr>
            </w:r>
            <w:r>
              <w:rPr>
                <w:rFonts w:ascii="Calibri" w:hAnsi="Calibri"/>
                <w:color w:val="FFFFFF"/>
                <w:sz w:val="20"/>
              </w:rPr>
              <w:t>Gemiddeld</w:t>
            </w:r>
          </w:p>
        </w:tc>
      </w:tr>
      <w:tr>
        <w:tc>
          <w:tcPr>
            <w:tcW w:type="dxa" w:w="1440"/>
          </w:tcPr>
          <w:p>
            <w:r/>
            <w:r>
              <w:rPr>
                <w:rFonts w:ascii="Calibri" w:hAnsi="Calibri"/>
                <w:b/>
                <w:color w:val="1F2937"/>
                <w:sz w:val="20"/>
              </w:rPr>
              <w:t>2. V₂O₅ stofwolk</w:t>
            </w:r>
          </w:p>
        </w:tc>
        <w:tc>
          <w:tcPr>
            <w:tcW w:type="dxa" w:w="1440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3</w:t>
            </w:r>
          </w:p>
        </w:tc>
        <w:tc>
          <w:tcPr>
            <w:tcW w:type="dxa" w:w="1440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5</w:t>
            </w:r>
          </w:p>
        </w:tc>
        <w:tc>
          <w:tcPr>
            <w:tcW w:type="dxa" w:w="1440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15</w:t>
            </w:r>
          </w:p>
        </w:tc>
        <w:tc>
          <w:tcPr>
            <w:tcW w:type="dxa" w:w="1440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Ja</w:t>
            </w:r>
          </w:p>
        </w:tc>
        <w:tc>
          <w:tcPr>
            <w:tcW w:type="dxa" w:w="1440"/>
            <w:shd w:fill="EF4444"/>
          </w:tcPr>
          <w:p>
            <w:r>
              <w:rPr>
                <w:color w:val="FFFFFF"/>
              </w:rPr>
            </w:r>
            <w:r>
              <w:rPr>
                <w:rFonts w:ascii="Calibri" w:hAnsi="Calibri"/>
                <w:color w:val="FFFFFF"/>
                <w:sz w:val="20"/>
              </w:rPr>
              <w:t>Kritiek</w:t>
            </w:r>
          </w:p>
        </w:tc>
      </w:tr>
      <w:tr>
        <w:tc>
          <w:tcPr>
            <w:tcW w:type="dxa" w:w="1440"/>
          </w:tcPr>
          <w:p>
            <w:r/>
            <w:r>
              <w:rPr>
                <w:rFonts w:ascii="Calibri" w:hAnsi="Calibri"/>
                <w:b/>
                <w:color w:val="1F2937"/>
                <w:sz w:val="20"/>
              </w:rPr>
              <w:t>3. Stofexplosie</w:t>
            </w:r>
          </w:p>
        </w:tc>
        <w:tc>
          <w:tcPr>
            <w:tcW w:type="dxa" w:w="1440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2</w:t>
            </w:r>
          </w:p>
        </w:tc>
        <w:tc>
          <w:tcPr>
            <w:tcW w:type="dxa" w:w="1440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5</w:t>
            </w:r>
          </w:p>
        </w:tc>
        <w:tc>
          <w:tcPr>
            <w:tcW w:type="dxa" w:w="1440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10</w:t>
            </w:r>
          </w:p>
        </w:tc>
        <w:tc>
          <w:tcPr>
            <w:tcW w:type="dxa" w:w="1440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Ja</w:t>
            </w:r>
          </w:p>
        </w:tc>
        <w:tc>
          <w:tcPr>
            <w:tcW w:type="dxa" w:w="1440"/>
            <w:shd w:fill="FF6D00"/>
          </w:tcPr>
          <w:p>
            <w:r>
              <w:rPr>
                <w:color w:val="FFFFFF"/>
              </w:rPr>
            </w:r>
            <w:r>
              <w:rPr>
                <w:rFonts w:ascii="Calibri" w:hAnsi="Calibri"/>
                <w:color w:val="FFFFFF"/>
                <w:sz w:val="20"/>
              </w:rPr>
              <w:t>Hoog</w:t>
            </w:r>
          </w:p>
        </w:tc>
      </w:tr>
      <w:tr>
        <w:tc>
          <w:tcPr>
            <w:tcW w:type="dxa" w:w="1440"/>
          </w:tcPr>
          <w:p>
            <w:r/>
            <w:r>
              <w:rPr>
                <w:rFonts w:ascii="Calibri" w:hAnsi="Calibri"/>
                <w:b/>
                <w:color w:val="1F2937"/>
                <w:sz w:val="20"/>
              </w:rPr>
              <w:t>4. Exotherme reactie</w:t>
            </w:r>
          </w:p>
        </w:tc>
        <w:tc>
          <w:tcPr>
            <w:tcW w:type="dxa" w:w="1440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2</w:t>
            </w:r>
          </w:p>
        </w:tc>
        <w:tc>
          <w:tcPr>
            <w:tcW w:type="dxa" w:w="1440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4</w:t>
            </w:r>
          </w:p>
        </w:tc>
        <w:tc>
          <w:tcPr>
            <w:tcW w:type="dxa" w:w="1440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8</w:t>
            </w:r>
          </w:p>
        </w:tc>
        <w:tc>
          <w:tcPr>
            <w:tcW w:type="dxa" w:w="1440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Nee</w:t>
            </w:r>
          </w:p>
        </w:tc>
        <w:tc>
          <w:tcPr>
            <w:tcW w:type="dxa" w:w="1440"/>
            <w:shd w:fill="F59E0B"/>
          </w:tcPr>
          <w:p>
            <w:r>
              <w:rPr>
                <w:color w:val="FFFFFF"/>
              </w:rPr>
            </w:r>
            <w:r>
              <w:rPr>
                <w:rFonts w:ascii="Calibri" w:hAnsi="Calibri"/>
                <w:color w:val="FFFFFF"/>
                <w:sz w:val="20"/>
              </w:rPr>
              <w:t>Gemiddeld</w:t>
            </w:r>
          </w:p>
        </w:tc>
      </w:tr>
      <w:tr>
        <w:tc>
          <w:tcPr>
            <w:tcW w:type="dxa" w:w="1440"/>
          </w:tcPr>
          <w:p>
            <w:r/>
            <w:r>
              <w:rPr>
                <w:rFonts w:ascii="Calibri" w:hAnsi="Calibri"/>
                <w:b/>
                <w:color w:val="1F2937"/>
                <w:sz w:val="20"/>
              </w:rPr>
              <w:t>5. Cr(VI) blootstelling</w:t>
            </w:r>
          </w:p>
        </w:tc>
        <w:tc>
          <w:tcPr>
            <w:tcW w:type="dxa" w:w="1440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3</w:t>
            </w:r>
          </w:p>
        </w:tc>
        <w:tc>
          <w:tcPr>
            <w:tcW w:type="dxa" w:w="1440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5</w:t>
            </w:r>
          </w:p>
        </w:tc>
        <w:tc>
          <w:tcPr>
            <w:tcW w:type="dxa" w:w="1440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15</w:t>
            </w:r>
          </w:p>
        </w:tc>
        <w:tc>
          <w:tcPr>
            <w:tcW w:type="dxa" w:w="1440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Ja</w:t>
            </w:r>
          </w:p>
        </w:tc>
        <w:tc>
          <w:tcPr>
            <w:tcW w:type="dxa" w:w="1440"/>
            <w:shd w:fill="EF4444"/>
          </w:tcPr>
          <w:p>
            <w:r>
              <w:rPr>
                <w:color w:val="FFFFFF"/>
              </w:rPr>
            </w:r>
            <w:r>
              <w:rPr>
                <w:rFonts w:ascii="Calibri" w:hAnsi="Calibri"/>
                <w:color w:val="FFFFFF"/>
                <w:sz w:val="20"/>
              </w:rPr>
              <w:t>Kritiek</w:t>
            </w:r>
          </w:p>
        </w:tc>
      </w:tr>
      <w:tr>
        <w:tc>
          <w:tcPr>
            <w:tcW w:type="dxa" w:w="1440"/>
          </w:tcPr>
          <w:p>
            <w:r/>
            <w:r>
              <w:rPr>
                <w:rFonts w:ascii="Calibri" w:hAnsi="Calibri"/>
                <w:b/>
                <w:color w:val="1F2937"/>
                <w:sz w:val="20"/>
              </w:rPr>
              <w:t>6. Milieu-incident</w:t>
            </w:r>
          </w:p>
        </w:tc>
        <w:tc>
          <w:tcPr>
            <w:tcW w:type="dxa" w:w="1440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2</w:t>
            </w:r>
          </w:p>
        </w:tc>
        <w:tc>
          <w:tcPr>
            <w:tcW w:type="dxa" w:w="1440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3</w:t>
            </w:r>
          </w:p>
        </w:tc>
        <w:tc>
          <w:tcPr>
            <w:tcW w:type="dxa" w:w="1440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6</w:t>
            </w:r>
          </w:p>
        </w:tc>
        <w:tc>
          <w:tcPr>
            <w:tcW w:type="dxa" w:w="1440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Nee</w:t>
            </w:r>
          </w:p>
        </w:tc>
        <w:tc>
          <w:tcPr>
            <w:tcW w:type="dxa" w:w="1440"/>
            <w:shd w:fill="F59E0B"/>
          </w:tcPr>
          <w:p>
            <w:r>
              <w:rPr>
                <w:color w:val="FFFFFF"/>
              </w:rPr>
            </w:r>
            <w:r>
              <w:rPr>
                <w:rFonts w:ascii="Calibri" w:hAnsi="Calibri"/>
                <w:color w:val="FFFFFF"/>
                <w:sz w:val="20"/>
              </w:rPr>
              <w:t>Gemiddeld</w:t>
            </w:r>
          </w:p>
        </w:tc>
      </w:tr>
    </w:tbl>
    <w:p>
      <w:r>
        <w:br w:type="page"/>
      </w:r>
    </w:p>
    <w:p>
      <w:pPr>
        <w:pStyle w:val="Heading1"/>
      </w:pPr>
      <w:r>
        <w:rPr>
          <w:rFonts w:ascii="Calibri" w:hAnsi="Calibri"/>
          <w:color w:val="003366"/>
        </w:rPr>
        <w:t>6. MT Aanbevelingen</w:t>
      </w:r>
    </w:p>
    <w:p>
      <w:r>
        <w:rPr>
          <w:rFonts w:ascii="Calibri" w:hAnsi="Calibri"/>
          <w:b w:val="0"/>
          <w:color w:val="1F2937"/>
          <w:sz w:val="22"/>
        </w:rPr>
        <w:t>Onderstaande aanbevelingen zijn gericht op de scenario's met geïdentificeerde GAP's (scenario 2, 3 en 5) [1][2][3].</w:t>
      </w:r>
    </w:p>
    <w:p>
      <w:pPr>
        <w:pStyle w:val="Heading3"/>
      </w:pPr>
      <w:r>
        <w:rPr>
          <w:rFonts w:ascii="Calibri" w:hAnsi="Calibri"/>
          <w:color w:val="003366"/>
        </w:rPr>
        <w:t>Scenario 2: V₂O₅ Stofwolk (Carcinogeen) — Prioriteit: Kritiek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2268"/>
            <w:shd w:fill="F8F9FA"/>
          </w:tcPr>
          <w:p>
            <w:r/>
            <w:r>
              <w:rPr>
                <w:rFonts w:ascii="Calibri" w:hAnsi="Calibri"/>
                <w:b/>
                <w:color w:val="003366"/>
                <w:sz w:val="20"/>
              </w:rPr>
              <w:t>Gemist (GAP)</w:t>
            </w:r>
          </w:p>
        </w:tc>
        <w:tc>
          <w:tcPr>
            <w:tcW w:type="dxa" w:w="7370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Stofvrije verpakking en continue luchtmonitoring zijn niet getest. Geen geautomatiseerd shut-off bij overschrijding.</w:t>
            </w:r>
          </w:p>
        </w:tc>
      </w:tr>
      <w:tr>
        <w:tc>
          <w:tcPr>
            <w:tcW w:type="dxa" w:w="2268"/>
            <w:shd w:fill="F8F9FA"/>
          </w:tcPr>
          <w:p>
            <w:r/>
            <w:r>
              <w:rPr>
                <w:rFonts w:ascii="Calibri" w:hAnsi="Calibri"/>
                <w:b/>
                <w:color w:val="003366"/>
                <w:sz w:val="20"/>
              </w:rPr>
              <w:t>Aanbevolen Actie</w:t>
            </w:r>
          </w:p>
        </w:tc>
        <w:tc>
          <w:tcPr>
            <w:tcW w:type="dxa" w:w="7370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1) Implementeer geautomatiseerd shut-off systeem gekoppeld aan luchtmonitoring. 2) Test en valideer stofvrije verpakking onder bedrijfsomstandigheden. 3) Installeer continue V₂O₅ monitoring met real-time MT-dashboard.</w:t>
            </w:r>
          </w:p>
        </w:tc>
      </w:tr>
      <w:tr>
        <w:tc>
          <w:tcPr>
            <w:tcW w:type="dxa" w:w="2268"/>
            <w:shd w:fill="F8F9FA"/>
          </w:tcPr>
          <w:p>
            <w:r/>
            <w:r>
              <w:rPr>
                <w:rFonts w:ascii="Calibri" w:hAnsi="Calibri"/>
                <w:b/>
                <w:color w:val="003366"/>
                <w:sz w:val="20"/>
              </w:rPr>
              <w:t>Investering (indicatief)</w:t>
            </w:r>
          </w:p>
        </w:tc>
        <w:tc>
          <w:tcPr>
            <w:tcW w:type="dxa" w:w="7370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€ 45.000 – € 75.000</w:t>
            </w:r>
          </w:p>
        </w:tc>
      </w:tr>
      <w:tr>
        <w:tc>
          <w:tcPr>
            <w:tcW w:type="dxa" w:w="2268"/>
            <w:shd w:fill="F8F9FA"/>
          </w:tcPr>
          <w:p>
            <w:r/>
            <w:r>
              <w:rPr>
                <w:rFonts w:ascii="Calibri" w:hAnsi="Calibri"/>
                <w:b/>
                <w:color w:val="003366"/>
                <w:sz w:val="20"/>
              </w:rPr>
              <w:t>Deadline</w:t>
            </w:r>
          </w:p>
        </w:tc>
        <w:tc>
          <w:tcPr>
            <w:tcW w:type="dxa" w:w="7370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Q3 2026</w:t>
            </w:r>
          </w:p>
        </w:tc>
      </w:tr>
      <w:tr>
        <w:tc>
          <w:tcPr>
            <w:tcW w:type="dxa" w:w="2268"/>
            <w:shd w:fill="F8F9FA"/>
          </w:tcPr>
          <w:p>
            <w:r/>
            <w:r>
              <w:rPr>
                <w:rFonts w:ascii="Calibri" w:hAnsi="Calibri"/>
                <w:b/>
                <w:color w:val="003366"/>
                <w:sz w:val="20"/>
              </w:rPr>
              <w:t>Verantwoordelijke</w:t>
            </w:r>
          </w:p>
        </w:tc>
        <w:tc>
          <w:tcPr>
            <w:tcW w:type="dxa" w:w="7370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HSEQ Manager + Plant Manager</w:t>
            </w:r>
          </w:p>
        </w:tc>
      </w:tr>
    </w:tbl>
    <w:p/>
    <w:p>
      <w:pPr>
        <w:pStyle w:val="Heading3"/>
      </w:pPr>
      <w:r>
        <w:rPr>
          <w:rFonts w:ascii="Calibri" w:hAnsi="Calibri"/>
          <w:color w:val="003366"/>
        </w:rPr>
        <w:t>Scenario 3: Stofexplosie V₂O₅ Drooginstallatie — Prioriteit: Hoog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2268"/>
            <w:shd w:fill="F8F9FA"/>
          </w:tcPr>
          <w:p>
            <w:r/>
            <w:r>
              <w:rPr>
                <w:rFonts w:ascii="Calibri" w:hAnsi="Calibri"/>
                <w:b/>
                <w:color w:val="003366"/>
                <w:sz w:val="20"/>
              </w:rPr>
              <w:t>Gemist (GAP)</w:t>
            </w:r>
          </w:p>
        </w:tc>
        <w:tc>
          <w:tcPr>
            <w:tcW w:type="dxa" w:w="7370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Temperatuurmonitoring niet getest; reinigingsschema verouderd. Geen explodeerbaar stof karakterisering uitgevoerd.</w:t>
            </w:r>
          </w:p>
        </w:tc>
      </w:tr>
      <w:tr>
        <w:tc>
          <w:tcPr>
            <w:tcW w:type="dxa" w:w="2268"/>
            <w:shd w:fill="F8F9FA"/>
          </w:tcPr>
          <w:p>
            <w:r/>
            <w:r>
              <w:rPr>
                <w:rFonts w:ascii="Calibri" w:hAnsi="Calibri"/>
                <w:b/>
                <w:color w:val="003366"/>
                <w:sz w:val="20"/>
              </w:rPr>
              <w:t>Aanbevolen Actie</w:t>
            </w:r>
          </w:p>
        </w:tc>
        <w:tc>
          <w:tcPr>
            <w:tcW w:type="dxa" w:w="7370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1) Voer stofkarakterisering uit (Kst, Pmax, MIT, MIE). 2) Test en kalibreer temperatuurmonitoring. 3) Update reinigingsschema op basis van stofmetingen. 4) Installeer explosiedrukontlasting conform EN 14491.</w:t>
            </w:r>
          </w:p>
        </w:tc>
      </w:tr>
      <w:tr>
        <w:tc>
          <w:tcPr>
            <w:tcW w:type="dxa" w:w="2268"/>
            <w:shd w:fill="F8F9FA"/>
          </w:tcPr>
          <w:p>
            <w:r/>
            <w:r>
              <w:rPr>
                <w:rFonts w:ascii="Calibri" w:hAnsi="Calibri"/>
                <w:b/>
                <w:color w:val="003366"/>
                <w:sz w:val="20"/>
              </w:rPr>
              <w:t>Investering (indicatief)</w:t>
            </w:r>
          </w:p>
        </w:tc>
        <w:tc>
          <w:tcPr>
            <w:tcW w:type="dxa" w:w="7370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€ 30.000 – € 55.000</w:t>
            </w:r>
          </w:p>
        </w:tc>
      </w:tr>
      <w:tr>
        <w:tc>
          <w:tcPr>
            <w:tcW w:type="dxa" w:w="2268"/>
            <w:shd w:fill="F8F9FA"/>
          </w:tcPr>
          <w:p>
            <w:r/>
            <w:r>
              <w:rPr>
                <w:rFonts w:ascii="Calibri" w:hAnsi="Calibri"/>
                <w:b/>
                <w:color w:val="003366"/>
                <w:sz w:val="20"/>
              </w:rPr>
              <w:t>Deadline</w:t>
            </w:r>
          </w:p>
        </w:tc>
        <w:tc>
          <w:tcPr>
            <w:tcW w:type="dxa" w:w="7370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Q3 2026</w:t>
            </w:r>
          </w:p>
        </w:tc>
      </w:tr>
      <w:tr>
        <w:tc>
          <w:tcPr>
            <w:tcW w:type="dxa" w:w="2268"/>
            <w:shd w:fill="F8F9FA"/>
          </w:tcPr>
          <w:p>
            <w:r/>
            <w:r>
              <w:rPr>
                <w:rFonts w:ascii="Calibri" w:hAnsi="Calibri"/>
                <w:b/>
                <w:color w:val="003366"/>
                <w:sz w:val="20"/>
              </w:rPr>
              <w:t>Verantwoordelijke</w:t>
            </w:r>
          </w:p>
        </w:tc>
        <w:tc>
          <w:tcPr>
            <w:tcW w:type="dxa" w:w="7370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Process Engineer + HSEQ Manager</w:t>
            </w:r>
          </w:p>
        </w:tc>
      </w:tr>
    </w:tbl>
    <w:p/>
    <w:p>
      <w:pPr>
        <w:pStyle w:val="Heading3"/>
      </w:pPr>
      <w:r>
        <w:rPr>
          <w:rFonts w:ascii="Calibri" w:hAnsi="Calibri"/>
          <w:color w:val="003366"/>
        </w:rPr>
        <w:t>Scenario 5: Cr(VI) Blootstelling in Staalslakken — Prioriteit: Kritiek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2268"/>
            <w:shd w:fill="F8F9FA"/>
          </w:tcPr>
          <w:p>
            <w:r/>
            <w:r>
              <w:rPr>
                <w:rFonts w:ascii="Calibri" w:hAnsi="Calibri"/>
                <w:b/>
                <w:color w:val="003366"/>
                <w:sz w:val="20"/>
              </w:rPr>
              <w:t>Gemist (GAP)</w:t>
            </w:r>
          </w:p>
        </w:tc>
        <w:tc>
          <w:tcPr>
            <w:tcW w:type="dxa" w:w="7370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Stofonderdrukking, afzuiging en gesloten verwerking zijn niet getest. Monitoring beperkt tot steekproeven.</w:t>
            </w:r>
          </w:p>
        </w:tc>
      </w:tr>
      <w:tr>
        <w:tc>
          <w:tcPr>
            <w:tcW w:type="dxa" w:w="2268"/>
            <w:shd w:fill="F8F9FA"/>
          </w:tcPr>
          <w:p>
            <w:r/>
            <w:r>
              <w:rPr>
                <w:rFonts w:ascii="Calibri" w:hAnsi="Calibri"/>
                <w:b/>
                <w:color w:val="003366"/>
                <w:sz w:val="20"/>
              </w:rPr>
              <w:t>Aanbevolen Actie</w:t>
            </w:r>
          </w:p>
        </w:tc>
        <w:tc>
          <w:tcPr>
            <w:tcW w:type="dxa" w:w="7370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1) Implementeer continue stofmonitoring bij slakverwerking. 2) Test en valideer stofonderdrukking (besproeiing). 3) Onderzoek haalbaarheid gesloten verwerking. 4) Uitbreiding medische screeningprotocol. 5) Registreer blootstelling in digitaal systeem.</w:t>
            </w:r>
          </w:p>
        </w:tc>
      </w:tr>
      <w:tr>
        <w:tc>
          <w:tcPr>
            <w:tcW w:type="dxa" w:w="2268"/>
            <w:shd w:fill="F8F9FA"/>
          </w:tcPr>
          <w:p>
            <w:r/>
            <w:r>
              <w:rPr>
                <w:rFonts w:ascii="Calibri" w:hAnsi="Calibri"/>
                <w:b/>
                <w:color w:val="003366"/>
                <w:sz w:val="20"/>
              </w:rPr>
              <w:t>Investering (indicatief)</w:t>
            </w:r>
          </w:p>
        </w:tc>
        <w:tc>
          <w:tcPr>
            <w:tcW w:type="dxa" w:w="7370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€ 35.000 – € 60.000</w:t>
            </w:r>
          </w:p>
        </w:tc>
      </w:tr>
      <w:tr>
        <w:tc>
          <w:tcPr>
            <w:tcW w:type="dxa" w:w="2268"/>
            <w:shd w:fill="F8F9FA"/>
          </w:tcPr>
          <w:p>
            <w:r/>
            <w:r>
              <w:rPr>
                <w:rFonts w:ascii="Calibri" w:hAnsi="Calibri"/>
                <w:b/>
                <w:color w:val="003366"/>
                <w:sz w:val="20"/>
              </w:rPr>
              <w:t>Deadline</w:t>
            </w:r>
          </w:p>
        </w:tc>
        <w:tc>
          <w:tcPr>
            <w:tcW w:type="dxa" w:w="7370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Q4 2026</w:t>
            </w:r>
          </w:p>
        </w:tc>
      </w:tr>
      <w:tr>
        <w:tc>
          <w:tcPr>
            <w:tcW w:type="dxa" w:w="2268"/>
            <w:shd w:fill="F8F9FA"/>
          </w:tcPr>
          <w:p>
            <w:r/>
            <w:r>
              <w:rPr>
                <w:rFonts w:ascii="Calibri" w:hAnsi="Calibri"/>
                <w:b/>
                <w:color w:val="003366"/>
                <w:sz w:val="20"/>
              </w:rPr>
              <w:t>Verantwoordelijke</w:t>
            </w:r>
          </w:p>
        </w:tc>
        <w:tc>
          <w:tcPr>
            <w:tcW w:type="dxa" w:w="7370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HSEQ Manager + Occupational Hygienist</w:t>
            </w:r>
          </w:p>
        </w:tc>
      </w:tr>
    </w:tbl>
    <w:p/>
    <w:p>
      <w:r>
        <w:br w:type="page"/>
      </w:r>
    </w:p>
    <w:p>
      <w:pPr>
        <w:pStyle w:val="Heading1"/>
      </w:pPr>
      <w:r>
        <w:rPr>
          <w:rFonts w:ascii="Calibri" w:hAnsi="Calibri"/>
          <w:color w:val="003366"/>
        </w:rPr>
        <w:t>7. Bronnenlijst</w:t>
      </w:r>
    </w:p>
    <w:p>
      <w:r>
        <w:rPr>
          <w:rFonts w:ascii="Calibri" w:hAnsi="Calibri"/>
          <w:color w:val="1F2937"/>
          <w:sz w:val="20"/>
        </w:rPr>
        <w:t>[1] Gevarenregister — VBS Element 2, Document #2, Phoenix Metals B.V., 2026</w:t>
      </w:r>
    </w:p>
    <w:p>
      <w:r>
        <w:rPr>
          <w:rFonts w:ascii="Calibri" w:hAnsi="Calibri"/>
          <w:color w:val="1F2937"/>
          <w:sz w:val="20"/>
        </w:rPr>
        <w:t>[2] Risicomatrix — VBS Element 2, Document #3, Phoenix Metals B.V., 2026</w:t>
      </w:r>
    </w:p>
    <w:p>
      <w:r>
        <w:rPr>
          <w:rFonts w:ascii="Calibri" w:hAnsi="Calibri"/>
          <w:color w:val="1F2937"/>
          <w:sz w:val="20"/>
        </w:rPr>
        <w:t>[3] FMECA — VBS Element 2, Document #4, Phoenix Metals B.V., 2026</w:t>
      </w:r>
    </w:p>
    <w:p>
      <w:r>
        <w:rPr>
          <w:rFonts w:ascii="Calibri" w:hAnsi="Calibri"/>
          <w:color w:val="1F2937"/>
          <w:sz w:val="20"/>
        </w:rPr>
        <w:t>[4] Stofexplosie &amp; ATEX — VBS Element 2, Document #6, Phoenix Metals B.V., 2026</w:t>
      </w:r>
    </w:p>
    <w:p>
      <w:r>
        <w:rPr>
          <w:rFonts w:ascii="Calibri" w:hAnsi="Calibri"/>
          <w:color w:val="1F2937"/>
          <w:sz w:val="20"/>
        </w:rPr>
        <w:t>[5] BRZO 2015 (Besluit risico's zware ongevallen 2015), Staatsblad 2015, 236</w:t>
      </w:r>
    </w:p>
    <w:p>
      <w:r>
        <w:rPr>
          <w:rFonts w:ascii="Calibri" w:hAnsi="Calibri"/>
          <w:color w:val="1F2937"/>
          <w:sz w:val="20"/>
        </w:rPr>
        <w:t>[6] Meta-Dossier v1.0 — 2026-PM-VBS-Element2, JvG Consultancy, 2026</w:t>
      </w:r>
    </w:p>
    <w:p/>
    <w:p>
      <w:pPr>
        <w:pStyle w:val="Heading1"/>
      </w:pPr>
      <w:r>
        <w:rPr>
          <w:rFonts w:ascii="Calibri" w:hAnsi="Calibri"/>
          <w:color w:val="003366"/>
        </w:rPr>
        <w:t>8. TierVerify Log</w:t>
      </w:r>
    </w:p>
    <w:p>
      <w:r>
        <w:rPr>
          <w:rFonts w:ascii="Calibri" w:hAnsi="Calibri"/>
          <w:b w:val="0"/>
          <w:color w:val="1F2937"/>
          <w:sz w:val="22"/>
        </w:rPr>
        <w:t>Dit document is geverifieerd volgens het TierVerify protocol (MASTER_STYLEGUIDE §13).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  <w:shd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Check</w:t>
            </w:r>
          </w:p>
        </w:tc>
        <w:tc>
          <w:tcPr>
            <w:tcW w:type="dxa" w:w="2160"/>
            <w:shd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Bron</w:t>
            </w:r>
          </w:p>
        </w:tc>
        <w:tc>
          <w:tcPr>
            <w:tcW w:type="dxa" w:w="2160"/>
            <w:shd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Status</w:t>
            </w:r>
          </w:p>
        </w:tc>
        <w:tc>
          <w:tcPr>
            <w:tcW w:type="dxa" w:w="2160"/>
            <w:shd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Opmerking</w:t>
            </w:r>
          </w:p>
        </w:tc>
      </w:tr>
      <w:tr>
        <w:tc>
          <w:tcPr>
            <w:tcW w:type="dxa" w:w="2160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Feitelijke claims bronverwijzing</w:t>
            </w:r>
          </w:p>
        </w:tc>
        <w:tc>
          <w:tcPr>
            <w:tcW w:type="dxa" w:w="2160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STYLEGUIDE §1.8</w:t>
            </w:r>
          </w:p>
        </w:tc>
        <w:tc>
          <w:tcPr>
            <w:tcW w:type="dxa" w:w="2160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✅ Pass</w:t>
            </w:r>
          </w:p>
        </w:tc>
        <w:tc>
          <w:tcPr>
            <w:tcW w:type="dxa" w:w="2160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[1]-[6] genummerd</w:t>
            </w:r>
          </w:p>
        </w:tc>
      </w:tr>
      <w:tr>
        <w:tc>
          <w:tcPr>
            <w:tcW w:type="dxa" w:w="2160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Documentheader aanwezig</w:t>
            </w:r>
          </w:p>
        </w:tc>
        <w:tc>
          <w:tcPr>
            <w:tcW w:type="dxa" w:w="2160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STYLEGUIDE §2.1</w:t>
            </w:r>
          </w:p>
        </w:tc>
        <w:tc>
          <w:tcPr>
            <w:tcW w:type="dxa" w:w="2160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✅ Pass</w:t>
            </w:r>
          </w:p>
        </w:tc>
        <w:tc>
          <w:tcPr>
            <w:tcW w:type="dxa" w:w="2160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Voorblad + meta-tabel</w:t>
            </w:r>
          </w:p>
        </w:tc>
      </w:tr>
      <w:tr>
        <w:tc>
          <w:tcPr>
            <w:tcW w:type="dxa" w:w="2160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Logo aanwezig + aspect ratio</w:t>
            </w:r>
          </w:p>
        </w:tc>
        <w:tc>
          <w:tcPr>
            <w:tcW w:type="dxa" w:w="2160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STYLEGUIDE §8</w:t>
            </w:r>
          </w:p>
        </w:tc>
        <w:tc>
          <w:tcPr>
            <w:tcW w:type="dxa" w:w="2160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✅ Pass</w:t>
            </w:r>
          </w:p>
        </w:tc>
        <w:tc>
          <w:tcPr>
            <w:tcW w:type="dxa" w:w="2160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4.0 cm breed, ratio 1.115:1</w:t>
            </w:r>
          </w:p>
        </w:tc>
      </w:tr>
      <w:tr>
        <w:tc>
          <w:tcPr>
            <w:tcW w:type="dxa" w:w="2160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Kleurenpalet conform</w:t>
            </w:r>
          </w:p>
        </w:tc>
        <w:tc>
          <w:tcPr>
            <w:tcW w:type="dxa" w:w="2160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STYLEGUIDE §1.2</w:t>
            </w:r>
          </w:p>
        </w:tc>
        <w:tc>
          <w:tcPr>
            <w:tcW w:type="dxa" w:w="2160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✅ Pass</w:t>
            </w:r>
          </w:p>
        </w:tc>
        <w:tc>
          <w:tcPr>
            <w:tcW w:type="dxa" w:w="2160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#003366 primair</w:t>
            </w:r>
          </w:p>
        </w:tc>
      </w:tr>
      <w:tr>
        <w:tc>
          <w:tcPr>
            <w:tcW w:type="dxa" w:w="2160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Lettertype Calibri</w:t>
            </w:r>
          </w:p>
        </w:tc>
        <w:tc>
          <w:tcPr>
            <w:tcW w:type="dxa" w:w="2160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STYLEGUIDE §1.1</w:t>
            </w:r>
          </w:p>
        </w:tc>
        <w:tc>
          <w:tcPr>
            <w:tcW w:type="dxa" w:w="2160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✅ Pass</w:t>
            </w:r>
          </w:p>
        </w:tc>
        <w:tc>
          <w:tcPr>
            <w:tcW w:type="dxa" w:w="2160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Calibri 11pt / 10pt tabellen</w:t>
            </w:r>
          </w:p>
        </w:tc>
      </w:tr>
      <w:tr>
        <w:tc>
          <w:tcPr>
            <w:tcW w:type="dxa" w:w="2160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Output format .docx</w:t>
            </w:r>
          </w:p>
        </w:tc>
        <w:tc>
          <w:tcPr>
            <w:tcW w:type="dxa" w:w="2160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IDENTITY.md</w:t>
            </w:r>
          </w:p>
        </w:tc>
        <w:tc>
          <w:tcPr>
            <w:tcW w:type="dxa" w:w="2160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✅ Pass</w:t>
            </w:r>
          </w:p>
        </w:tc>
        <w:tc>
          <w:tcPr>
            <w:tcW w:type="dxa" w:w="2160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Geen .md einddeliverable</w:t>
            </w:r>
          </w:p>
        </w:tc>
      </w:tr>
      <w:tr>
        <w:tc>
          <w:tcPr>
            <w:tcW w:type="dxa" w:w="2160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Versietag in bestandsnaam</w:t>
            </w:r>
          </w:p>
        </w:tc>
        <w:tc>
          <w:tcPr>
            <w:tcW w:type="dxa" w:w="2160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IDENTITY.md</w:t>
            </w:r>
          </w:p>
        </w:tc>
        <w:tc>
          <w:tcPr>
            <w:tcW w:type="dxa" w:w="2160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✅ Pass</w:t>
            </w:r>
          </w:p>
        </w:tc>
        <w:tc>
          <w:tcPr>
            <w:tcW w:type="dxa" w:w="2160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_v1.0</w:t>
            </w:r>
          </w:p>
        </w:tc>
      </w:tr>
      <w:tr>
        <w:tc>
          <w:tcPr>
            <w:tcW w:type="dxa" w:w="2160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Bronverwijzingen compleet</w:t>
            </w:r>
          </w:p>
        </w:tc>
        <w:tc>
          <w:tcPr>
            <w:tcW w:type="dxa" w:w="2160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Meta-Dossier v1.0</w:t>
            </w:r>
          </w:p>
        </w:tc>
        <w:tc>
          <w:tcPr>
            <w:tcW w:type="dxa" w:w="2160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✅ Pass</w:t>
            </w:r>
          </w:p>
        </w:tc>
        <w:tc>
          <w:tcPr>
            <w:tcW w:type="dxa" w:w="2160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6 bronnen gerefereerd</w:t>
            </w:r>
          </w:p>
        </w:tc>
      </w:tr>
    </w:tbl>
    <w:p>
      <w:pPr>
        <w:pStyle w:val="Heading2"/>
      </w:pPr>
      <w:r>
        <w:t>Cross-Reference Integratie (VBS Element Koppelingen)</w:t>
      </w:r>
    </w:p>
    <w:p>
      <w:r>
        <w:rPr>
          <w:rFonts w:ascii="Calibri" w:hAnsi="Calibri"/>
          <w:b w:val="0"/>
          <w:sz w:val="22"/>
        </w:rPr>
        <w:t>BowTie-barrières die falen bij major accident scenario's, moeten direct gekoppeld zijn aan noodprocedures in E4#01 (Noodplan) en E4#02 (Noodprocedures). BowTie threats dienen als triggers voor specifieke noodprocedure-scenario's.</w:t>
      </w:r>
    </w:p>
    <w:p>
      <w:r>
        <w:rPr>
          <w:rFonts w:ascii="Calibri" w:hAnsi="Calibri"/>
          <w:b w:val="0"/>
          <w:sz w:val="22"/>
        </w:rPr>
        <w:t>Koppeling met E4#01 Noodplan: Falende barrières bij major accident scenario's activeren het algemene noodplan (E4#01). De BowTie-analyse identificeert welke barrières kritiek zijn voor het voorkomen van escalatie.</w:t>
      </w:r>
    </w:p>
    <w:p>
      <w:r>
        <w:rPr>
          <w:rFonts w:ascii="Calibri" w:hAnsi="Calibri"/>
          <w:b w:val="0"/>
          <w:sz w:val="22"/>
        </w:rPr>
        <w:t>Koppeling met E4#02 Noodprocedures: BowTie threats dienen als input voor de specifieke noodprocedure-scenario's. Elke bedreiging met een hoge waarschijnlijkheid en ernstige consequentie moet een corresponderend E4#02 scenario hebben.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Calibri" w:hAnsi="Calibri"/>
                <w:b/>
                <w:sz w:val="20"/>
              </w:rPr>
              <w:t>BowTie Component</w:t>
            </w:r>
          </w:p>
        </w:tc>
        <w:tc>
          <w:tcPr>
            <w:tcW w:type="dxa" w:w="1728"/>
          </w:tcPr>
          <w:p>
            <w:r>
              <w:rPr>
                <w:rFonts w:ascii="Calibri" w:hAnsi="Calibri"/>
                <w:b/>
                <w:sz w:val="20"/>
              </w:rPr>
              <w:t>Type</w:t>
            </w:r>
          </w:p>
        </w:tc>
        <w:tc>
          <w:tcPr>
            <w:tcW w:type="dxa" w:w="1728"/>
          </w:tcPr>
          <w:p>
            <w:r>
              <w:rPr>
                <w:rFonts w:ascii="Calibri" w:hAnsi="Calibri"/>
                <w:b/>
                <w:sz w:val="20"/>
              </w:rPr>
              <w:t>E4 Referentie</w:t>
            </w:r>
          </w:p>
        </w:tc>
        <w:tc>
          <w:tcPr>
            <w:tcW w:type="dxa" w:w="1728"/>
          </w:tcPr>
          <w:p>
            <w:r>
              <w:rPr>
                <w:rFonts w:ascii="Calibri" w:hAnsi="Calibri"/>
                <w:b/>
                <w:sz w:val="20"/>
              </w:rPr>
              <w:t>Scenario</w:t>
            </w:r>
          </w:p>
        </w:tc>
        <w:tc>
          <w:tcPr>
            <w:tcW w:type="dxa" w:w="1728"/>
          </w:tcPr>
          <w:p>
            <w:r>
              <w:rPr>
                <w:rFonts w:ascii="Calibri" w:hAnsi="Calibri"/>
                <w:b/>
                <w:sz w:val="20"/>
              </w:rPr>
              <w:t>Status</w:t>
            </w:r>
          </w:p>
        </w:tc>
      </w:tr>
      <w:tr>
        <w:tc>
          <w:tcPr>
            <w:tcW w:type="dxa" w:w="1728"/>
          </w:tcPr>
          <w:p>
            <w:r>
              <w:rPr>
                <w:rFonts w:ascii="Calibri" w:hAnsi="Calibri"/>
                <w:sz w:val="20"/>
              </w:rPr>
              <w:t>Threat: Equip. falen</w:t>
            </w:r>
          </w:p>
        </w:tc>
        <w:tc>
          <w:tcPr>
            <w:tcW w:type="dxa" w:w="1728"/>
          </w:tcPr>
          <w:p>
            <w:r>
              <w:rPr>
                <w:rFonts w:ascii="Calibri" w:hAnsi="Calibri"/>
                <w:sz w:val="20"/>
              </w:rPr>
              <w:t>Bedreiging (links)</w:t>
            </w:r>
          </w:p>
        </w:tc>
        <w:tc>
          <w:tcPr>
            <w:tcW w:type="dxa" w:w="1728"/>
          </w:tcPr>
          <w:p>
            <w:r>
              <w:rPr>
                <w:rFonts w:ascii="Calibri" w:hAnsi="Calibri"/>
                <w:sz w:val="20"/>
              </w:rPr>
              <w:t>E4#02 Scenario A</w:t>
            </w:r>
          </w:p>
        </w:tc>
        <w:tc>
          <w:tcPr>
            <w:tcW w:type="dxa" w:w="1728"/>
          </w:tcPr>
          <w:p>
            <w:r>
              <w:rPr>
                <w:rFonts w:ascii="Calibri" w:hAnsi="Calibri"/>
                <w:sz w:val="20"/>
              </w:rPr>
              <w:t>Mechanisch falen → isolatieprocedure</w:t>
            </w:r>
          </w:p>
        </w:tc>
        <w:tc>
          <w:tcPr>
            <w:tcW w:type="dxa" w:w="1728"/>
          </w:tcPr>
          <w:p>
            <w:r>
              <w:rPr>
                <w:rFonts w:ascii="Calibri" w:hAnsi="Calibri"/>
                <w:sz w:val="20"/>
              </w:rPr>
              <w:t>Verplicht</w:t>
            </w:r>
          </w:p>
        </w:tc>
      </w:tr>
      <w:tr>
        <w:tc>
          <w:tcPr>
            <w:tcW w:type="dxa" w:w="1728"/>
          </w:tcPr>
          <w:p>
            <w:r>
              <w:rPr>
                <w:rFonts w:ascii="Calibri" w:hAnsi="Calibri"/>
                <w:sz w:val="20"/>
              </w:rPr>
              <w:t>Threat: Menselijke fout</w:t>
            </w:r>
          </w:p>
        </w:tc>
        <w:tc>
          <w:tcPr>
            <w:tcW w:type="dxa" w:w="1728"/>
          </w:tcPr>
          <w:p>
            <w:r>
              <w:rPr>
                <w:rFonts w:ascii="Calibri" w:hAnsi="Calibri"/>
                <w:sz w:val="20"/>
              </w:rPr>
              <w:t>Bedreiging (links)</w:t>
            </w:r>
          </w:p>
        </w:tc>
        <w:tc>
          <w:tcPr>
            <w:tcW w:type="dxa" w:w="1728"/>
          </w:tcPr>
          <w:p>
            <w:r>
              <w:rPr>
                <w:rFonts w:ascii="Calibri" w:hAnsi="Calibri"/>
                <w:sz w:val="20"/>
              </w:rPr>
              <w:t>E4#02 Scenario B</w:t>
            </w:r>
          </w:p>
        </w:tc>
        <w:tc>
          <w:tcPr>
            <w:tcW w:type="dxa" w:w="1728"/>
          </w:tcPr>
          <w:p>
            <w:r>
              <w:rPr>
                <w:rFonts w:ascii="Calibri" w:hAnsi="Calibri"/>
                <w:sz w:val="20"/>
              </w:rPr>
              <w:t>Operatieve fout → noodstop procedure</w:t>
            </w:r>
          </w:p>
        </w:tc>
        <w:tc>
          <w:tcPr>
            <w:tcW w:type="dxa" w:w="1728"/>
          </w:tcPr>
          <w:p>
            <w:r>
              <w:rPr>
                <w:rFonts w:ascii="Calibri" w:hAnsi="Calibri"/>
                <w:sz w:val="20"/>
              </w:rPr>
              <w:t>Verplicht</w:t>
            </w:r>
          </w:p>
        </w:tc>
      </w:tr>
      <w:tr>
        <w:tc>
          <w:tcPr>
            <w:tcW w:type="dxa" w:w="1728"/>
          </w:tcPr>
          <w:p>
            <w:r>
              <w:rPr>
                <w:rFonts w:ascii="Calibri" w:hAnsi="Calibri"/>
                <w:sz w:val="20"/>
              </w:rPr>
              <w:t>Barrier: SIS/IPS</w:t>
            </w:r>
          </w:p>
        </w:tc>
        <w:tc>
          <w:tcPr>
            <w:tcW w:type="dxa" w:w="1728"/>
          </w:tcPr>
          <w:p>
            <w:r>
              <w:rPr>
                <w:rFonts w:ascii="Calibri" w:hAnsi="Calibri"/>
                <w:sz w:val="20"/>
              </w:rPr>
              <w:t>Preventieve barrière</w:t>
            </w:r>
          </w:p>
        </w:tc>
        <w:tc>
          <w:tcPr>
            <w:tcW w:type="dxa" w:w="1728"/>
          </w:tcPr>
          <w:p>
            <w:r>
              <w:rPr>
                <w:rFonts w:ascii="Calibri" w:hAnsi="Calibri"/>
                <w:sz w:val="20"/>
              </w:rPr>
              <w:t>E4#01 Noodplan §3</w:t>
            </w:r>
          </w:p>
        </w:tc>
        <w:tc>
          <w:tcPr>
            <w:tcW w:type="dxa" w:w="1728"/>
          </w:tcPr>
          <w:p>
            <w:r>
              <w:rPr>
                <w:rFonts w:ascii="Calibri" w:hAnsi="Calibri"/>
                <w:sz w:val="20"/>
              </w:rPr>
              <w:t>SIS falen → escalation noodplan</w:t>
            </w:r>
          </w:p>
        </w:tc>
        <w:tc>
          <w:tcPr>
            <w:tcW w:type="dxa" w:w="1728"/>
          </w:tcPr>
          <w:p>
            <w:r>
              <w:rPr>
                <w:rFonts w:ascii="Calibri" w:hAnsi="Calibri"/>
                <w:sz w:val="20"/>
              </w:rPr>
              <w:t>Verplicht</w:t>
            </w:r>
          </w:p>
        </w:tc>
      </w:tr>
      <w:tr>
        <w:tc>
          <w:tcPr>
            <w:tcW w:type="dxa" w:w="1728"/>
          </w:tcPr>
          <w:p>
            <w:r>
              <w:rPr>
                <w:rFonts w:ascii="Calibri" w:hAnsi="Calibri"/>
                <w:sz w:val="20"/>
              </w:rPr>
              <w:t>Barrier: Blowdown</w:t>
            </w:r>
          </w:p>
        </w:tc>
        <w:tc>
          <w:tcPr>
            <w:tcW w:type="dxa" w:w="1728"/>
          </w:tcPr>
          <w:p>
            <w:r>
              <w:rPr>
                <w:rFonts w:ascii="Calibri" w:hAnsi="Calibri"/>
                <w:sz w:val="20"/>
              </w:rPr>
              <w:t>Mitigerende barrière</w:t>
            </w:r>
          </w:p>
        </w:tc>
        <w:tc>
          <w:tcPr>
            <w:tcW w:type="dxa" w:w="1728"/>
          </w:tcPr>
          <w:p>
            <w:r>
              <w:rPr>
                <w:rFonts w:ascii="Calibri" w:hAnsi="Calibri"/>
                <w:sz w:val="20"/>
              </w:rPr>
              <w:t>E4#02 Scenario C</w:t>
            </w:r>
          </w:p>
        </w:tc>
        <w:tc>
          <w:tcPr>
            <w:tcW w:type="dxa" w:w="1728"/>
          </w:tcPr>
          <w:p>
            <w:r>
              <w:rPr>
                <w:rFonts w:ascii="Calibri" w:hAnsi="Calibri"/>
                <w:sz w:val="20"/>
              </w:rPr>
              <w:t>Overdruk → noodafblaas procedure</w:t>
            </w:r>
          </w:p>
        </w:tc>
        <w:tc>
          <w:tcPr>
            <w:tcW w:type="dxa" w:w="1728"/>
          </w:tcPr>
          <w:p>
            <w:r>
              <w:rPr>
                <w:rFonts w:ascii="Calibri" w:hAnsi="Calibri"/>
                <w:sz w:val="20"/>
              </w:rPr>
              <w:t>Verplicht</w:t>
            </w:r>
          </w:p>
        </w:tc>
      </w:tr>
      <w:tr>
        <w:tc>
          <w:tcPr>
            <w:tcW w:type="dxa" w:w="1728"/>
          </w:tcPr>
          <w:p>
            <w:r>
              <w:rPr>
                <w:rFonts w:ascii="Calibri" w:hAnsi="Calibri"/>
                <w:sz w:val="20"/>
              </w:rPr>
              <w:t>Consequence: Lek/Brand</w:t>
            </w:r>
          </w:p>
        </w:tc>
        <w:tc>
          <w:tcPr>
            <w:tcW w:type="dxa" w:w="1728"/>
          </w:tcPr>
          <w:p>
            <w:r>
              <w:rPr>
                <w:rFonts w:ascii="Calibri" w:hAnsi="Calibri"/>
                <w:sz w:val="20"/>
              </w:rPr>
              <w:t>Consequentie (rechts)</w:t>
            </w:r>
          </w:p>
        </w:tc>
        <w:tc>
          <w:tcPr>
            <w:tcW w:type="dxa" w:w="1728"/>
          </w:tcPr>
          <w:p>
            <w:r>
              <w:rPr>
                <w:rFonts w:ascii="Calibri" w:hAnsi="Calibri"/>
                <w:sz w:val="20"/>
              </w:rPr>
              <w:t>E4#01 + E4#02</w:t>
            </w:r>
          </w:p>
        </w:tc>
        <w:tc>
          <w:tcPr>
            <w:tcW w:type="dxa" w:w="1728"/>
          </w:tcPr>
          <w:p>
            <w:r>
              <w:rPr>
                <w:rFonts w:ascii="Calibri" w:hAnsi="Calibri"/>
                <w:sz w:val="20"/>
              </w:rPr>
              <w:t>Volledige mobilisatie noodplan</w:t>
            </w:r>
          </w:p>
        </w:tc>
        <w:tc>
          <w:tcPr>
            <w:tcW w:type="dxa" w:w="1728"/>
          </w:tcPr>
          <w:p>
            <w:r>
              <w:rPr>
                <w:rFonts w:ascii="Calibri" w:hAnsi="Calibri"/>
                <w:sz w:val="20"/>
              </w:rPr>
              <w:t>Verplicht</w:t>
            </w:r>
          </w:p>
        </w:tc>
      </w:tr>
    </w:tbl>
    <w:sectPr w:rsidR="00FC693F" w:rsidRPr="0006063C" w:rsidSect="00034616">
      <w:footerReference w:type="default" r:id="rId10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/>
        <w:color w:val="374151"/>
        <w:sz w:val="16"/>
      </w:rPr>
      <w:t>JvG Consultancy | Safety • Governance • Advisory | © 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color w:val="1F2937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