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52"/>
        </w:rPr>
        <w:t>BowTie Samenvatting Procesveiligheid</w:t>
      </w:r>
    </w:p>
    <w:p>
      <w:pPr>
        <w:jc w:val="center"/>
      </w:pPr>
      <w:r>
        <w:rPr>
          <w:rFonts w:ascii="Calibri" w:hAnsi="Calibri"/>
          <w:color w:val="1F2937"/>
          <w:sz w:val="32"/>
        </w:rPr>
        <w:t>VBS Element 2 — Document #8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2026-PM-VBS-Element2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Bedrijf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Phoenix Metals B.V.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BowTie Procesveiligheid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HQ_01 HSEQ Specialist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1.0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2026-04-29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color w:val="1F2937"/>
                <w:sz w:val="22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p>
      <w:pPr>
        <w:pStyle w:val="Heading2"/>
      </w:pPr>
      <w:r>
        <w:rPr>
          <w:rFonts w:ascii="Calibri" w:hAnsi="Calibri"/>
          <w:color w:val="003366"/>
        </w:rPr>
        <w:t>Versiebeheer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HQ_01 HSEQ Specialist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versie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Distributielijst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Distributie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Management Team Phoenix Metals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Digitaal (PDF)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HSEQ Manager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 benoemen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Digitaal + Print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Plant Manager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 benoemen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Digitaal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Adviseur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Consultancy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Digitaal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Autorisatie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Datum/Handtekening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Opgesteld door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HQ_01 HSEQ Specialist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Gecontroleerd door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Kas (Director of Operations)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Goedgekeurd door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Directie Phoenix Metals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Ter goedkeuring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r>
        <w:rPr>
          <w:rFonts w:ascii="Calibri" w:hAnsi="Calibri"/>
          <w:b w:val="0"/>
          <w:color w:val="1F2937"/>
          <w:sz w:val="22"/>
        </w:rPr>
        <w:t>Dit document geeft een visueel overzicht van de kritieke risicoscenario's voor het Management Team van Phoenix Metals B.V. middels de BowTie-methodiek [1][2]. De BowTie-modellen bieden direct inzicht in de oorzaken (threats), preventieve barrières, het top event, mitigerende barrières en de mogelijke gevolgen per scenario.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r>
        <w:rPr>
          <w:rFonts w:ascii="Calibri" w:hAnsi="Calibri"/>
          <w:b w:val="0"/>
          <w:color w:val="1F2937"/>
          <w:sz w:val="22"/>
        </w:rPr>
        <w:t>De scope omvat de 6 meest kritieke risico's geïdentificeerd in het Gevarenregister (Document #2) [1]. Deze scenario's vertegenwoordigen de hoogste risico's gerelateerd aan procesveiligheid, blootstelling aan gevaarlijke stoffen en milieu-impact binnen de vanadiumproductie-installatie te IJmuiden [6].</w:t>
      </w:r>
    </w:p>
    <w:p>
      <w:pPr>
        <w:pStyle w:val="Heading2"/>
      </w:pPr>
      <w:r>
        <w:rPr>
          <w:rFonts w:ascii="Calibri" w:hAnsi="Calibri"/>
          <w:color w:val="003366"/>
        </w:rPr>
        <w:t>1.3 Doelgroep</w:t>
      </w:r>
    </w:p>
    <w:p>
      <w:r>
        <w:rPr>
          <w:rFonts w:ascii="Calibri" w:hAnsi="Calibri"/>
          <w:b w:val="0"/>
          <w:color w:val="1F2937"/>
          <w:sz w:val="22"/>
        </w:rPr>
        <w:t>Directie-communicatie en MT-besluitvorming. Dit document is bedoeld als management samenvatting en vervangt niet de gedetailleerde risicoanalyses (FMECA, HAZOP) [3].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2. BowTie Methodiek</w:t>
      </w:r>
    </w:p>
    <w:p>
      <w:r>
        <w:rPr>
          <w:rFonts w:ascii="Calibri" w:hAnsi="Calibri"/>
          <w:b w:val="0"/>
          <w:color w:val="1F2937"/>
          <w:sz w:val="22"/>
        </w:rPr>
        <w:t>De BowTie-methodiek visualiseert risicoscenario's in een enkel overzichtelijk diagram [2][5]: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432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Threats (Links)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Bedreigingen en oorzaken die kunnen leiden tot het Top Event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Top Event (Midden)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 centrale ongewenste gebeurtenis (het ongeval/de gebeurtenis)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Consequences (Rechts)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Mogelijke gevolgen indien het Top Event zich voordoet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Preventive Barriers (Boven)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Barrières die voorkomen dat Threats leiden tot het Top Event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Mitigative Barriers (Onder)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Barrières die de gevolgen mitigeren na het Top Event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b w:val="0"/>
          <w:color w:val="1F2937"/>
          <w:sz w:val="22"/>
        </w:rPr>
        <w:t>Doel: Visueel inzicht in hoe elk risicoscenario is afgedekt met preventieve en mitigerende barrières, en waar eventuele hiaten (gaps) bestaan [2].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BowTie Analyses</w:t>
      </w:r>
    </w:p>
    <w:p>
      <w:pPr>
        <w:pStyle w:val="Heading2"/>
      </w:pPr>
      <w:r>
        <w:rPr>
          <w:rFonts w:ascii="Calibri" w:hAnsi="Calibri"/>
          <w:color w:val="003366"/>
        </w:rPr>
        <w:t>3.1 Scenario 1: Grote Lekkage Zwavelzuur (H₂SO₄)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Grote lekkage zwavelzuur uit reactor/opslag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Corrosie leidingen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Inspectieprogramma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Grote lekkage zwavelzuur uit reactor/opslag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Brandwonden medewerkers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Nooddouches / oogdouches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Constructiefalen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Corrosiemonitoring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Zuurwolk verspreiding omgeving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Lekvrije opvangbak (110%)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Menselijke fout bij overslag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Dubbele wand leidingen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Bodemverontreiniging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Evacuatieplan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Seismische activiteit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Training &amp; certificering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Productiestilstand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Bluswaterafvangsysteem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Werkvergunningensysteem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Milieu-alarm systeem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3.2 Scenario 2: V₂O₅ Stofwolk (Carcinogeen)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Ongecontroleerde V₂O₅ stofemissie bij drogen/verpakking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afzuiging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HEPA-filtratie systeem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Ongecontroleerde V₂O₅ stofemissie bij drogen/verpakking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Inhalatie carcinogeen (Carc. 1B, H350i)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Ademhalingsbescherming (P3 filter)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Filterdoorbraak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Afgesloten verwerkingssysteem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Huidblootstelling V₂O₅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Ontsmettingsdouches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Onderhoudswerkzaamheden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ATEX-apparatuur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Milieu-emissie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Stofafvang &amp; reiniging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Big-bag falen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Stofvrije verpakking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Nalevingsovertreding BRZO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Meldingsprocedure Incidenten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Continue luchtmonitoring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3.3 Scenario 3: Stofexplosie V₂O₅ Drooginstallatie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Stofexplosie in droog-/calcijnatie-eenheid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Stofophoping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ATEX zone 20/21 classificatie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Stofexplosie in droog-/calcijnatie-eenheid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Persoonlijk letsel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Explosieontlasting (venting)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Ontstekingsbron (statisch/vonken)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Aarding &amp; equipotentiaal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Structurele schade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Explosiedrukbestendige constructie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Oververhitting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Explosiebeveiliging (Ex-apparatuur)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Brand (secundair)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Brandblussysteem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stofafvangsysteem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Temperatuurmonitoring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Domino-effect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Evacuatieplan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Reinigingsschema (frequent)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Productiestilstand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Noodstop (ESD)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3.4 Scenario 4: Ongecontroleerde Exotherme Reactie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Runaway reaction in uitlogingsreactor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koelsysteem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Temperatuuralarm (hoog/laag)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Runaway reaction in uitlogingsreactor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Overdruk reactor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Drukventiel (PSV)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dosisering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SIS (Safety Instrumented System)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Reactorruptuur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Blowdown-systeem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Verkeerde concentratie H₂SO₄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Dosisering-interlock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Lekkage zwavelzuur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Noodafvoer (drain)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roerder/menging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Noodkoeling (backup)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Persoonlijk letsel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Evacuatieplan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Milieulozing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Milieuafvang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3.5 Scenario 5: Blootstelling Chroom-6 in Staalslakken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Cr(VI) blootstelling bij slakverwerking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Stofvorming bij lossen/verwerken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Stofonderdrukking (besproeiing)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Cr(VI) blootstelling bij slakverwerking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Inhalatie Cr(VI) carcinogeen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Medische screening (periodiek)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Gebrek aan PBM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Afzuiging bij bron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Huidcontact Cr(VI)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Sanitair (wasmogelijkheden)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afzuiging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Verplicht PBM (P3 masker)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Longkanaal risico (carcinogeen)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Vervangingsplicht bij overschrijding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Gesloten verwerking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Blootstellingsregistratie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Continue 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3.6 Scenario 6: Milieu-incident (Lozing Zware Metalen)</w:t>
      </w:r>
    </w:p>
    <w:p>
      <w:r>
        <w:rPr>
          <w:rFonts w:ascii="Calibri" w:hAnsi="Calibri"/>
          <w:b/>
          <w:color w:val="1F2937"/>
          <w:sz w:val="22"/>
        </w:rPr>
        <w:t xml:space="preserve">Top Event: </w:t>
      </w:r>
      <w:r>
        <w:rPr>
          <w:rFonts w:ascii="Calibri" w:hAnsi="Calibri"/>
          <w:color w:val="1F2937"/>
          <w:sz w:val="22"/>
        </w:rPr>
        <w:t>Lozing van V/Cr/Fe-houdend afvalwater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Threats</w:t>
              <w:br/>
              <w:t>(Oorzaken)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Preventieve</w:t>
              <w:br/>
              <w:t>Barrières</w:t>
            </w:r>
          </w:p>
        </w:tc>
        <w:tc>
          <w:tcPr>
            <w:tcW w:type="dxa" w:w="2154"/>
            <w:shd w:fill="FF6D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⬇ TOP EVENT ⬇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Gevolgen</w:t>
              <w:br/>
              <w:t>(Consequences)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Mitigerende</w:t>
              <w:br/>
              <w:t>Barrières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Falen waterzuivering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Waterzuiveringsinstallatie</w:t>
            </w:r>
          </w:p>
        </w:tc>
        <w:tc>
          <w:tcPr>
            <w:tcW w:type="dxa" w:w="2154"/>
            <w:shd w:fill="FFF3E0"/>
          </w:tcPr>
          <w:p>
            <w:r/>
            <w:r>
              <w:rPr>
                <w:rFonts w:ascii="Calibri" w:hAnsi="Calibri"/>
                <w:b/>
                <w:color w:val="FF6D00"/>
                <w:sz w:val="18"/>
              </w:rPr>
              <w:t>Lozing van V/Cr/Fe-houdend afvalwater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Verontreiniging oppervlaktewater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Noodopvang bassin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Overloop bassin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Continue lozingsmonitoring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Boetes / bestuursrechtelijke lasten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Bluswaterafvang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Lekkage leidingen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Dubbele wand bassin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Reputatieschade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Milieualarm systeem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Human error bij dosering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Alarm pH / zware metalen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Productiestilstand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• Communicatieplan (omgeving)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Barrière-effectiviteit</w:t>
      </w:r>
    </w:p>
    <w:p>
      <w:r>
        <w:rPr>
          <w:rFonts w:ascii="Calibri" w:hAnsi="Calibri"/>
          <w:b w:val="0"/>
          <w:color w:val="1F2937"/>
          <w:sz w:val="22"/>
        </w:rPr>
        <w:t>Onderstaande tabel geeft per scenario de beoordeling van elke barrière weer op effectiviteit en betrouwbaarheid [1][2][3].</w:t>
      </w:r>
    </w:p>
    <w:p>
      <w:pPr>
        <w:pStyle w:val="Heading3"/>
      </w:pPr>
      <w:r>
        <w:rPr>
          <w:rFonts w:ascii="Calibri" w:hAnsi="Calibri"/>
          <w:color w:val="003366"/>
        </w:rPr>
        <w:t>1. H₂SO₄ Lekkage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Inspectieprogramma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Corrosiemonitoring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Dubbele wand leidingen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Training &amp; certificering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Werkvergunningensysteem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Nooddouches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Opvangbak 110%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Evacuatieplan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2. V₂O₅ Stofwolk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HEPA-filtratie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Afgesloten systeem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ATEX-apparatuur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Stofvrije verpakking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Luchtmonitoring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Ademhalingsbescherming P3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Ontsmettingsdouches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3. Stofexplosie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 zone 20/21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Aarding &amp; equipotentiaal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Explosiebeveiliging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Temperatuurmonitoring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Reinigingsschema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Verouderd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Explosieontlasting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Drukbestendige constructie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4. Exotherme Reactie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Temperatuuralarm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SIS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Dosisering-interlock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Noodkoeling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Drukventiel PSV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Blowdown-systeem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5. Cr(VI) Blootstelling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Stofonderdrukking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Afzuiging bij bron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 PBM (P3)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Gesloten verwerking</w:t>
            </w:r>
          </w:p>
        </w:tc>
        <w:tc>
          <w:tcPr>
            <w:tcW w:type="dxa" w:w="2880"/>
            <w:shd w:fill="FEE2E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Laag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Monitoring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Medische screening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6. Milieu-incident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Barrière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Effectiviteit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Betrouwbaarheid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Waterzuiveringsinstallatie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Lozingsmonitoring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Dubbele wand bassin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Hoog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Bewezen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 pH/zware metalen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Noodopvang</w:t>
            </w:r>
          </w:p>
        </w:tc>
        <w:tc>
          <w:tcPr>
            <w:tcW w:type="dxa" w:w="2880"/>
            <w:shd w:fill="FEF3C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Gemiddeld</w:t>
            </w:r>
          </w:p>
        </w:tc>
        <w:tc>
          <w:tcPr>
            <w:tcW w:type="dxa" w:w="288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Niet-getest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Criticality Matrix</w:t>
      </w:r>
    </w:p>
    <w:p>
      <w:r>
        <w:rPr>
          <w:rFonts w:ascii="Calibri" w:hAnsi="Calibri"/>
          <w:b w:val="0"/>
          <w:color w:val="1F2937"/>
          <w:sz w:val="22"/>
        </w:rPr>
        <w:t>Overzicht van de 6 kritieke risicoscenario's met kans-, effect- en restrisicoscores [1][2].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Kans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Restrisico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GAP?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1. H₂SO₄ lekkage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Nee</w:t>
            </w:r>
          </w:p>
        </w:tc>
        <w:tc>
          <w:tcPr>
            <w:tcW w:type="dxa" w:w="1440"/>
            <w:shd w:fill="F59E0B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Gemiddeld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2. V₂O₅ stofwolk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</w:t>
            </w:r>
          </w:p>
        </w:tc>
        <w:tc>
          <w:tcPr>
            <w:tcW w:type="dxa" w:w="1440"/>
            <w:shd w:fill="EF4444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Kritiek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3. Stofexplosie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10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</w:t>
            </w:r>
          </w:p>
        </w:tc>
        <w:tc>
          <w:tcPr>
            <w:tcW w:type="dxa" w:w="1440"/>
            <w:shd w:fill="FF6D00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Hoog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4. Exotherme reactie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Nee</w:t>
            </w:r>
          </w:p>
        </w:tc>
        <w:tc>
          <w:tcPr>
            <w:tcW w:type="dxa" w:w="1440"/>
            <w:shd w:fill="F59E0B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Gemiddeld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5. Cr(VI) blootstelling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</w:t>
            </w:r>
          </w:p>
        </w:tc>
        <w:tc>
          <w:tcPr>
            <w:tcW w:type="dxa" w:w="1440"/>
            <w:shd w:fill="EF4444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Kritiek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color w:val="1F2937"/>
                <w:sz w:val="20"/>
              </w:rPr>
              <w:t>6. Milieu-incident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Nee</w:t>
            </w:r>
          </w:p>
        </w:tc>
        <w:tc>
          <w:tcPr>
            <w:tcW w:type="dxa" w:w="1440"/>
            <w:shd w:fill="F59E0B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color w:val="FFFFFF"/>
                <w:sz w:val="20"/>
              </w:rPr>
              <w:t>Gemiddeld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MT Aanbevelingen</w:t>
      </w:r>
    </w:p>
    <w:p>
      <w:r>
        <w:rPr>
          <w:rFonts w:ascii="Calibri" w:hAnsi="Calibri"/>
          <w:b w:val="0"/>
          <w:color w:val="1F2937"/>
          <w:sz w:val="22"/>
        </w:rPr>
        <w:t>Onderstaande aanbevelingen zijn gericht op de scenario's met geïdentificeerde GAP's (scenario 2, 3 en 5) [1][2][3].</w:t>
      </w:r>
    </w:p>
    <w:p>
      <w:pPr>
        <w:pStyle w:val="Heading3"/>
      </w:pPr>
      <w:r>
        <w:rPr>
          <w:rFonts w:ascii="Calibri" w:hAnsi="Calibri"/>
          <w:color w:val="003366"/>
        </w:rPr>
        <w:t>Scenario 2: V₂O₅ Stofwolk (Carcinogeen) — Prioriteit: Kritiek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Gemist (GAP)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Stofvrije verpakking en continue luchtmonitoring zijn niet getest. Geen geautomatiseerd shut-off bij overschrijding.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Aanbevolen Actie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1) Implementeer geautomatiseerd shut-off systeem gekoppeld aan luchtmonitoring. 2) Test en valideer stofvrije verpakking onder bedrijfsomstandigheden. 3) Installeer continue V₂O₅ monitoring met real-time MT-dashboard.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Investering (indicatief)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€ 45.000 – € 75.000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Deadline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Q3 2026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Verantwoordelijke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HSEQ Manager + Plant Manager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Scenario 3: Stofexplosie V₂O₅ Drooginstallatie — Prioriteit: Hoog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Gemist (GAP)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Temperatuurmonitoring niet getest; reinigingsschema verouderd. Geen explodeerbaar stof karakterisering uitgevoerd.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Aanbevolen Actie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1) Voer stofkarakterisering uit (Kst, Pmax, MIT, MIE). 2) Test en kalibreer temperatuurmonitoring. 3) Update reinigingsschema op basis van stofmetingen. 4) Installeer explosiedrukontlasting conform EN 14491.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Investering (indicatief)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€ 30.000 – € 55.000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Deadline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Q3 2026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Verantwoordelijke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Process Engineer + HSEQ Manager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Scenario 5: Cr(VI) Blootstelling in Staalslakken — Prioriteit: Kritiek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Gemist (GAP)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Stofonderdrukking, afzuiging en gesloten verwerking zijn niet getest. Monitoring beperkt tot steekproeven.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Aanbevolen Actie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1) Implementeer continue stofmonitoring bij slakverwerking. 2) Test en valideer stofonderdrukking (besproeiing). 3) Onderzoek haalbaarheid gesloten verwerking. 4) Uitbreiding medische screeningprotocol. 5) Registreer blootstelling in digitaal systeem.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Investering (indicatief)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€ 35.000 – € 60.000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Deadline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Q4 2026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b/>
                <w:color w:val="003366"/>
                <w:sz w:val="20"/>
              </w:rPr>
              <w:t>Verantwoordelijke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HSEQ Manager + Occupational Hygienist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Bronnenlijst</w:t>
      </w:r>
    </w:p>
    <w:p>
      <w:r>
        <w:rPr>
          <w:rFonts w:ascii="Calibri" w:hAnsi="Calibri"/>
          <w:color w:val="1F2937"/>
          <w:sz w:val="20"/>
        </w:rPr>
        <w:t>[1] Gevarenregister — VBS Element 2, Document #2, Phoenix Metals B.V., 2026</w:t>
      </w:r>
    </w:p>
    <w:p>
      <w:r>
        <w:rPr>
          <w:rFonts w:ascii="Calibri" w:hAnsi="Calibri"/>
          <w:color w:val="1F2937"/>
          <w:sz w:val="20"/>
        </w:rPr>
        <w:t>[2] Risicomatrix — VBS Element 2, Document #3, Phoenix Metals B.V., 2026</w:t>
      </w:r>
    </w:p>
    <w:p>
      <w:r>
        <w:rPr>
          <w:rFonts w:ascii="Calibri" w:hAnsi="Calibri"/>
          <w:color w:val="1F2937"/>
          <w:sz w:val="20"/>
        </w:rPr>
        <w:t>[3] FMECA — VBS Element 2, Document #4, Phoenix Metals B.V., 2026</w:t>
      </w:r>
    </w:p>
    <w:p>
      <w:r>
        <w:rPr>
          <w:rFonts w:ascii="Calibri" w:hAnsi="Calibri"/>
          <w:color w:val="1F2937"/>
          <w:sz w:val="20"/>
        </w:rPr>
        <w:t>[4] Stofexplosie &amp; ATEX — VBS Element 2, Document #6, Phoenix Metals B.V., 2026</w:t>
      </w:r>
    </w:p>
    <w:p>
      <w:r>
        <w:rPr>
          <w:rFonts w:ascii="Calibri" w:hAnsi="Calibri"/>
          <w:color w:val="1F2937"/>
          <w:sz w:val="20"/>
        </w:rPr>
        <w:t>[5] BRZO 2015 (Besluit risico's zware ongevallen 2015), Staatsblad 2015, 236</w:t>
      </w:r>
    </w:p>
    <w:p>
      <w:r>
        <w:rPr>
          <w:rFonts w:ascii="Calibri" w:hAnsi="Calibri"/>
          <w:color w:val="1F2937"/>
          <w:sz w:val="20"/>
        </w:rPr>
        <w:t>[6] Meta-Dossier v1.0 — 2026-PM-VBS-Element2, JvG Consultancy, 2026</w:t>
      </w:r>
    </w:p>
    <w:p/>
    <w:p>
      <w:pPr>
        <w:pStyle w:val="Heading1"/>
      </w:pPr>
      <w:r>
        <w:rPr>
          <w:rFonts w:ascii="Calibri" w:hAnsi="Calibri"/>
          <w:color w:val="003366"/>
        </w:rPr>
        <w:t>8. TierVerify Log</w:t>
      </w:r>
    </w:p>
    <w:p>
      <w:r>
        <w:rPr>
          <w:rFonts w:ascii="Calibri" w:hAnsi="Calibri"/>
          <w:b w:val="0"/>
          <w:color w:val="1F2937"/>
          <w:sz w:val="22"/>
        </w:rPr>
        <w:t>Dit document is geverifieerd volgens het TierVerify protocol (MASTER_STYLEGUIDE §13).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Feitelijke claims bronverwijzing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[1]-[6] genummerd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aanwezig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Voorblad + meta-tabel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Logo aanwezig + aspect ratio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4.0 cm breed, ratio 1.115:1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Kleurenpalet conform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#003366 primair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Lettertype Calibri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Calibri 11pt / 10pt tabellen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Output format .docx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IDENTITY.md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Geen .md einddeliverable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Versietag in bestandsnaam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IDENTITY.md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_v1.0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v1.0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 bronnen gerefereerd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