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720000" cy="648000"/>
                    </a:xfrm>
                    <a:prstGeom prst="rect"/>
                  </pic:spPr>
                </pic:pic>
              </a:graphicData>
            </a:graphic>
          </wp:inline>
        </w:drawing>
      </w:r>
    </w:p>
    <w:p/>
    <w:p>
      <w:pPr>
        <w:jc w:val="center"/>
      </w:pPr>
      <w:r>
        <w:rPr>
          <w:rFonts w:ascii="Calibri" w:hAnsi="Calibri"/>
          <w:b/>
          <w:color w:val="003366"/>
          <w:sz w:val="48"/>
        </w:rPr>
        <w:t>Stofexplosie &amp; ATEX Zone Classificatie</w:t>
      </w:r>
    </w:p>
    <w:p>
      <w:pPr>
        <w:jc w:val="center"/>
      </w:pPr>
      <w:r>
        <w:rPr>
          <w:color w:val="1F2937"/>
          <w:sz w:val="32"/>
        </w:rPr>
        <w:t>VBS Element 2 — Document #6</w:t>
      </w:r>
    </w:p>
    <w:p>
      <w:pPr>
        <w:jc w:val="center"/>
      </w:pPr>
      <w:r>
        <w:rPr>
          <w:color w:val="1F2937"/>
          <w:sz w:val="28"/>
        </w:rPr>
        <w:t>Phoenix Metals Vanadiumproductie — IJmuiden</w:t>
      </w:r>
    </w:p>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536"/>
        <w:gridCol w:w="4536"/>
      </w:tblGrid>
      <w:tr>
        <w:tc>
          <w:tcPr>
            <w:tcW w:type="dxa" w:w="4536"/>
            <w:shd w:fill="F8F9FA"/>
          </w:tcPr>
          <w:p>
            <w:r/>
            <w:r>
              <w:rPr>
                <w:rFonts w:ascii="Calibri" w:hAnsi="Calibri"/>
                <w:b/>
                <w:sz w:val="22"/>
              </w:rPr>
              <w:t>Project</w:t>
            </w:r>
          </w:p>
        </w:tc>
        <w:tc>
          <w:tcPr>
            <w:tcW w:type="dxa" w:w="4536"/>
          </w:tcPr>
          <w:p>
            <w:r>
              <w:t>2026-PM-VBS-Element2</w:t>
            </w:r>
          </w:p>
        </w:tc>
      </w:tr>
      <w:tr>
        <w:tc>
          <w:tcPr>
            <w:tcW w:type="dxa" w:w="4536"/>
            <w:shd w:fill="F8F9FA"/>
          </w:tcPr>
          <w:p>
            <w:r/>
            <w:r>
              <w:rPr>
                <w:rFonts w:ascii="Calibri" w:hAnsi="Calibri"/>
                <w:b/>
                <w:sz w:val="22"/>
              </w:rPr>
              <w:t>Type</w:t>
            </w:r>
          </w:p>
        </w:tc>
        <w:tc>
          <w:tcPr>
            <w:tcW w:type="dxa" w:w="4536"/>
          </w:tcPr>
          <w:p>
            <w:r>
              <w:t>Stofexplosie &amp; ATEX Analyse</w:t>
            </w:r>
          </w:p>
        </w:tc>
      </w:tr>
      <w:tr>
        <w:tc>
          <w:tcPr>
            <w:tcW w:type="dxa" w:w="4536"/>
            <w:shd w:fill="F8F9FA"/>
          </w:tcPr>
          <w:p>
            <w:r/>
            <w:r>
              <w:rPr>
                <w:rFonts w:ascii="Calibri" w:hAnsi="Calibri"/>
                <w:b/>
                <w:sz w:val="22"/>
              </w:rPr>
              <w:t>Auteur</w:t>
            </w:r>
          </w:p>
        </w:tc>
        <w:tc>
          <w:tcPr>
            <w:tcW w:type="dxa" w:w="4536"/>
          </w:tcPr>
          <w:p>
            <w:r>
              <w:t>HQ_01 HSEQ Specialist</w:t>
            </w:r>
          </w:p>
        </w:tc>
      </w:tr>
      <w:tr>
        <w:tc>
          <w:tcPr>
            <w:tcW w:type="dxa" w:w="4536"/>
            <w:shd w:fill="F8F9FA"/>
          </w:tcPr>
          <w:p>
            <w:r/>
            <w:r>
              <w:rPr>
                <w:rFonts w:ascii="Calibri" w:hAnsi="Calibri"/>
                <w:b/>
                <w:sz w:val="22"/>
              </w:rPr>
              <w:t>Versie</w:t>
            </w:r>
          </w:p>
        </w:tc>
        <w:tc>
          <w:tcPr>
            <w:tcW w:type="dxa" w:w="4536"/>
          </w:tcPr>
          <w:p>
            <w:r>
              <w:t>1.0</w:t>
            </w:r>
          </w:p>
        </w:tc>
      </w:tr>
      <w:tr>
        <w:tc>
          <w:tcPr>
            <w:tcW w:type="dxa" w:w="4536"/>
            <w:shd w:fill="F8F9FA"/>
          </w:tcPr>
          <w:p>
            <w:r/>
            <w:r>
              <w:rPr>
                <w:rFonts w:ascii="Calibri" w:hAnsi="Calibri"/>
                <w:b/>
                <w:sz w:val="22"/>
              </w:rPr>
              <w:t>Datum</w:t>
            </w:r>
          </w:p>
        </w:tc>
        <w:tc>
          <w:tcPr>
            <w:tcW w:type="dxa" w:w="4536"/>
          </w:tcPr>
          <w:p>
            <w:r>
              <w:t>29 april 2026</w:t>
            </w:r>
          </w:p>
        </w:tc>
      </w:tr>
      <w:tr>
        <w:tc>
          <w:tcPr>
            <w:tcW w:type="dxa" w:w="4536"/>
            <w:shd w:fill="F8F9FA"/>
          </w:tcPr>
          <w:p>
            <w:r/>
            <w:r>
              <w:rPr>
                <w:rFonts w:ascii="Calibri" w:hAnsi="Calibri"/>
                <w:b/>
                <w:sz w:val="22"/>
              </w:rPr>
              <w:t>Status</w:t>
            </w:r>
          </w:p>
        </w:tc>
        <w:tc>
          <w:tcPr>
            <w:tcW w:type="dxa" w:w="4536"/>
          </w:tcPr>
          <w:p>
            <w:r>
              <w:t>Final</w:t>
            </w:r>
          </w:p>
        </w:tc>
      </w:tr>
      <w:tr>
        <w:tc>
          <w:tcPr>
            <w:tcW w:type="dxa" w:w="4536"/>
            <w:shd w:fill="F8F9FA"/>
          </w:tcPr>
          <w:p>
            <w:r/>
            <w:r>
              <w:rPr>
                <w:rFonts w:ascii="Calibri" w:hAnsi="Calibri"/>
                <w:b/>
                <w:sz w:val="22"/>
              </w:rPr>
              <w:t>Opdrachtgever</w:t>
            </w:r>
          </w:p>
        </w:tc>
        <w:tc>
          <w:tcPr>
            <w:tcW w:type="dxa" w:w="4536"/>
          </w:tcPr>
          <w:p>
            <w:r>
              <w:t>Phoenix Metals B.V.</w:t>
            </w:r>
          </w:p>
        </w:tc>
      </w:tr>
      <w:tr>
        <w:tc>
          <w:tcPr>
            <w:tcW w:type="dxa" w:w="4536"/>
            <w:shd w:fill="F8F9FA"/>
          </w:tcPr>
          <w:p>
            <w:r/>
            <w:r>
              <w:rPr>
                <w:rFonts w:ascii="Calibri" w:hAnsi="Calibri"/>
                <w:b/>
                <w:sz w:val="22"/>
              </w:rPr>
              <w:t>Classificatie</w:t>
            </w:r>
          </w:p>
        </w:tc>
        <w:tc>
          <w:tcPr>
            <w:tcW w:type="dxa" w:w="4536"/>
          </w:tcPr>
          <w:p>
            <w:r>
              <w:t>Vertrouwelijk</w:t>
            </w:r>
          </w:p>
        </w:tc>
      </w:tr>
    </w:tbl>
    <w:p>
      <w:r>
        <w:br w:type="page"/>
      </w:r>
    </w:p>
    <w:p>
      <w:pPr>
        <w:pStyle w:val="Heading1"/>
      </w:pPr>
      <w:r>
        <w:rPr>
          <w:color w:val="003366"/>
        </w:rPr>
        <w:t>2. Documentbeheersing</w:t>
      </w:r>
    </w:p>
    <w:p>
      <w:pPr>
        <w:pStyle w:val="Heading2"/>
      </w:pPr>
      <w:r>
        <w:rPr>
          <w:color w:val="003366"/>
        </w:rPr>
        <w:t>2.1 Versiebeheer</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left"/>
            </w:pPr>
            <w:r/>
            <w:r>
              <w:rPr>
                <w:rFonts w:ascii="Calibri" w:hAnsi="Calibri"/>
                <w:b/>
                <w:color w:val="FFFFFF"/>
                <w:sz w:val="20"/>
              </w:rPr>
              <w:t>Versie</w:t>
            </w:r>
          </w:p>
        </w:tc>
        <w:tc>
          <w:tcPr>
            <w:tcW w:type="dxa" w:w="2268"/>
            <w:shd w:fill="003366"/>
          </w:tcPr>
          <w:p>
            <w:pPr>
              <w:jc w:val="left"/>
            </w:pPr>
            <w:r/>
            <w:r>
              <w:rPr>
                <w:rFonts w:ascii="Calibri" w:hAnsi="Calibri"/>
                <w:b/>
                <w:color w:val="FFFFFF"/>
                <w:sz w:val="20"/>
              </w:rPr>
              <w:t>Datum</w:t>
            </w:r>
          </w:p>
        </w:tc>
        <w:tc>
          <w:tcPr>
            <w:tcW w:type="dxa" w:w="2268"/>
            <w:shd w:fill="003366"/>
          </w:tcPr>
          <w:p>
            <w:pPr>
              <w:jc w:val="left"/>
            </w:pPr>
            <w:r/>
            <w:r>
              <w:rPr>
                <w:rFonts w:ascii="Calibri" w:hAnsi="Calibri"/>
                <w:b/>
                <w:color w:val="FFFFFF"/>
                <w:sz w:val="20"/>
              </w:rPr>
              <w:t>Auteur</w:t>
            </w:r>
          </w:p>
        </w:tc>
        <w:tc>
          <w:tcPr>
            <w:tcW w:type="dxa" w:w="2268"/>
            <w:shd w:fill="003366"/>
          </w:tcPr>
          <w:p>
            <w:pPr>
              <w:jc w:val="left"/>
            </w:pPr>
            <w:r/>
            <w:r>
              <w:rPr>
                <w:rFonts w:ascii="Calibri" w:hAnsi="Calibri"/>
                <w:b/>
                <w:color w:val="FFFFFF"/>
                <w:sz w:val="20"/>
              </w:rPr>
              <w:t>Wijziging</w:t>
            </w:r>
          </w:p>
        </w:tc>
      </w:tr>
      <w:tr>
        <w:tc>
          <w:tcPr>
            <w:tcW w:type="dxa" w:w="2268"/>
          </w:tcPr>
          <w:p>
            <w:r/>
            <w:r>
              <w:rPr>
                <w:rFonts w:ascii="Calibri" w:hAnsi="Calibri"/>
                <w:sz w:val="20"/>
              </w:rPr>
              <w:t>1.0</w:t>
            </w:r>
          </w:p>
        </w:tc>
        <w:tc>
          <w:tcPr>
            <w:tcW w:type="dxa" w:w="2268"/>
          </w:tcPr>
          <w:p>
            <w:r/>
            <w:r>
              <w:rPr>
                <w:rFonts w:ascii="Calibri" w:hAnsi="Calibri"/>
                <w:sz w:val="20"/>
              </w:rPr>
              <w:t>29-04-2026</w:t>
            </w:r>
          </w:p>
        </w:tc>
        <w:tc>
          <w:tcPr>
            <w:tcW w:type="dxa" w:w="2268"/>
          </w:tcPr>
          <w:p>
            <w:r/>
            <w:r>
              <w:rPr>
                <w:rFonts w:ascii="Calibri" w:hAnsi="Calibri"/>
                <w:sz w:val="20"/>
              </w:rPr>
              <w:t>HQ_01</w:t>
            </w:r>
          </w:p>
        </w:tc>
        <w:tc>
          <w:tcPr>
            <w:tcW w:type="dxa" w:w="2268"/>
          </w:tcPr>
          <w:p>
            <w:r/>
            <w:r>
              <w:rPr>
                <w:rFonts w:ascii="Calibri" w:hAnsi="Calibri"/>
                <w:sz w:val="20"/>
              </w:rPr>
              <w:t>Eerste versie — Stofexplosie &amp; ATEX zone classificatie</w:t>
            </w:r>
          </w:p>
        </w:tc>
      </w:tr>
    </w:tbl>
    <w:p>
      <w:pPr>
        <w:pStyle w:val="Heading2"/>
      </w:pPr>
      <w:r>
        <w:rPr>
          <w:color w:val="003366"/>
        </w:rPr>
        <w:t>2.2 Distributielijst</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left"/>
            </w:pPr>
            <w:r/>
            <w:r>
              <w:rPr>
                <w:rFonts w:ascii="Calibri" w:hAnsi="Calibri"/>
                <w:b/>
                <w:color w:val="FFFFFF"/>
                <w:sz w:val="20"/>
              </w:rPr>
              <w:t>Naam</w:t>
            </w:r>
          </w:p>
        </w:tc>
        <w:tc>
          <w:tcPr>
            <w:tcW w:type="dxa" w:w="3024"/>
            <w:shd w:fill="003366"/>
          </w:tcPr>
          <w:p>
            <w:pPr>
              <w:jc w:val="left"/>
            </w:pPr>
            <w:r/>
            <w:r>
              <w:rPr>
                <w:rFonts w:ascii="Calibri" w:hAnsi="Calibri"/>
                <w:b/>
                <w:color w:val="FFFFFF"/>
                <w:sz w:val="20"/>
              </w:rPr>
              <w:t>Functie</w:t>
            </w:r>
          </w:p>
        </w:tc>
        <w:tc>
          <w:tcPr>
            <w:tcW w:type="dxa" w:w="3024"/>
            <w:shd w:fill="003366"/>
          </w:tcPr>
          <w:p>
            <w:pPr>
              <w:jc w:val="left"/>
            </w:pPr>
            <w:r/>
            <w:r>
              <w:rPr>
                <w:rFonts w:ascii="Calibri" w:hAnsi="Calibri"/>
                <w:b/>
                <w:color w:val="FFFFFF"/>
                <w:sz w:val="20"/>
              </w:rPr>
              <w:t>Exemplaar</w:t>
            </w:r>
          </w:p>
        </w:tc>
      </w:tr>
      <w:tr>
        <w:tc>
          <w:tcPr>
            <w:tcW w:type="dxa" w:w="3024"/>
          </w:tcPr>
          <w:p>
            <w:r/>
            <w:r>
              <w:rPr>
                <w:rFonts w:ascii="Calibri" w:hAnsi="Calibri"/>
                <w:sz w:val="20"/>
              </w:rPr>
              <w:t>Jorick van Gemert</w:t>
            </w:r>
          </w:p>
        </w:tc>
        <w:tc>
          <w:tcPr>
            <w:tcW w:type="dxa" w:w="3024"/>
          </w:tcPr>
          <w:p>
            <w:r/>
            <w:r>
              <w:rPr>
                <w:rFonts w:ascii="Calibri" w:hAnsi="Calibri"/>
                <w:sz w:val="20"/>
              </w:rPr>
              <w:t>Directeur / HSEQ Manager</w:t>
            </w:r>
          </w:p>
        </w:tc>
        <w:tc>
          <w:tcPr>
            <w:tcW w:type="dxa" w:w="3024"/>
          </w:tcPr>
          <w:p>
            <w:r/>
            <w:r>
              <w:rPr>
                <w:rFonts w:ascii="Calibri" w:hAnsi="Calibri"/>
                <w:sz w:val="20"/>
              </w:rPr>
              <w:t>1 (digitaal)</w:t>
            </w:r>
          </w:p>
        </w:tc>
      </w:tr>
      <w:tr>
        <w:tc>
          <w:tcPr>
            <w:tcW w:type="dxa" w:w="3024"/>
          </w:tcPr>
          <w:p>
            <w:r/>
            <w:r>
              <w:rPr>
                <w:rFonts w:ascii="Calibri" w:hAnsi="Calibri"/>
                <w:sz w:val="20"/>
              </w:rPr>
              <w:t>Phoenix Metals MT</w:t>
            </w:r>
          </w:p>
        </w:tc>
        <w:tc>
          <w:tcPr>
            <w:tcW w:type="dxa" w:w="3024"/>
          </w:tcPr>
          <w:p>
            <w:r/>
            <w:r>
              <w:rPr>
                <w:rFonts w:ascii="Calibri" w:hAnsi="Calibri"/>
                <w:sz w:val="20"/>
              </w:rPr>
              <w:t>Management Team</w:t>
            </w:r>
          </w:p>
        </w:tc>
        <w:tc>
          <w:tcPr>
            <w:tcW w:type="dxa" w:w="3024"/>
          </w:tcPr>
          <w:p>
            <w:r/>
            <w:r>
              <w:rPr>
                <w:rFonts w:ascii="Calibri" w:hAnsi="Calibri"/>
                <w:sz w:val="20"/>
              </w:rPr>
              <w:t>1 (digitaal)</w:t>
            </w:r>
          </w:p>
        </w:tc>
      </w:tr>
      <w:tr>
        <w:tc>
          <w:tcPr>
            <w:tcW w:type="dxa" w:w="3024"/>
          </w:tcPr>
          <w:p>
            <w:r/>
            <w:r>
              <w:rPr>
                <w:rFonts w:ascii="Calibri" w:hAnsi="Calibri"/>
                <w:sz w:val="20"/>
              </w:rPr>
              <w:t>HSEQ Team</w:t>
            </w:r>
          </w:p>
        </w:tc>
        <w:tc>
          <w:tcPr>
            <w:tcW w:type="dxa" w:w="3024"/>
          </w:tcPr>
          <w:p>
            <w:r/>
            <w:r>
              <w:rPr>
                <w:rFonts w:ascii="Calibri" w:hAnsi="Calibri"/>
                <w:sz w:val="20"/>
              </w:rPr>
              <w:t>KAM-medewerkers</w:t>
            </w:r>
          </w:p>
        </w:tc>
        <w:tc>
          <w:tcPr>
            <w:tcW w:type="dxa" w:w="3024"/>
          </w:tcPr>
          <w:p>
            <w:r/>
            <w:r>
              <w:rPr>
                <w:rFonts w:ascii="Calibri" w:hAnsi="Calibri"/>
                <w:sz w:val="20"/>
              </w:rPr>
              <w:t>1 (digitaal)</w:t>
            </w:r>
          </w:p>
        </w:tc>
      </w:tr>
    </w:tbl>
    <w:p>
      <w:pPr>
        <w:pStyle w:val="Heading2"/>
      </w:pPr>
      <w:r>
        <w:rPr>
          <w:color w:val="003366"/>
        </w:rPr>
        <w:t>2.3 Autorisatie</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left"/>
            </w:pPr>
            <w:r/>
            <w:r>
              <w:rPr>
                <w:rFonts w:ascii="Calibri" w:hAnsi="Calibri"/>
                <w:b/>
                <w:color w:val="FFFFFF"/>
                <w:sz w:val="20"/>
              </w:rPr>
              <w:t>Rol</w:t>
            </w:r>
          </w:p>
        </w:tc>
        <w:tc>
          <w:tcPr>
            <w:tcW w:type="dxa" w:w="3024"/>
            <w:shd w:fill="003366"/>
          </w:tcPr>
          <w:p>
            <w:pPr>
              <w:jc w:val="left"/>
            </w:pPr>
            <w:r/>
            <w:r>
              <w:rPr>
                <w:rFonts w:ascii="Calibri" w:hAnsi="Calibri"/>
                <w:b/>
                <w:color w:val="FFFFFF"/>
                <w:sz w:val="20"/>
              </w:rPr>
              <w:t>Naam</w:t>
            </w:r>
          </w:p>
        </w:tc>
        <w:tc>
          <w:tcPr>
            <w:tcW w:type="dxa" w:w="3024"/>
            <w:shd w:fill="003366"/>
          </w:tcPr>
          <w:p>
            <w:pPr>
              <w:jc w:val="left"/>
            </w:pPr>
            <w:r/>
            <w:r>
              <w:rPr>
                <w:rFonts w:ascii="Calibri" w:hAnsi="Calibri"/>
                <w:b/>
                <w:color w:val="FFFFFF"/>
                <w:sz w:val="20"/>
              </w:rPr>
              <w:t>Datum / Handtekening</w:t>
            </w:r>
          </w:p>
        </w:tc>
      </w:tr>
      <w:tr>
        <w:tc>
          <w:tcPr>
            <w:tcW w:type="dxa" w:w="3024"/>
          </w:tcPr>
          <w:p>
            <w:r/>
            <w:r>
              <w:rPr>
                <w:rFonts w:ascii="Calibri" w:hAnsi="Calibri"/>
                <w:sz w:val="20"/>
              </w:rPr>
              <w:t>Opsteller</w:t>
            </w:r>
          </w:p>
        </w:tc>
        <w:tc>
          <w:tcPr>
            <w:tcW w:type="dxa" w:w="3024"/>
          </w:tcPr>
          <w:p>
            <w:r/>
            <w:r>
              <w:rPr>
                <w:rFonts w:ascii="Calibri" w:hAnsi="Calibri"/>
                <w:sz w:val="20"/>
              </w:rPr>
              <w:t>HQ_01 HSEQ Specialist</w:t>
            </w:r>
          </w:p>
        </w:tc>
        <w:tc>
          <w:tcPr>
            <w:tcW w:type="dxa" w:w="3024"/>
          </w:tcPr>
          <w:p>
            <w:r/>
            <w:r>
              <w:rPr>
                <w:rFonts w:ascii="Calibri" w:hAnsi="Calibri"/>
                <w:sz w:val="20"/>
              </w:rPr>
              <w:t>29-04-2026</w:t>
            </w:r>
          </w:p>
        </w:tc>
      </w:tr>
      <w:tr>
        <w:tc>
          <w:tcPr>
            <w:tcW w:type="dxa" w:w="3024"/>
          </w:tcPr>
          <w:p>
            <w:r/>
            <w:r>
              <w:rPr>
                <w:rFonts w:ascii="Calibri" w:hAnsi="Calibri"/>
                <w:sz w:val="20"/>
              </w:rPr>
              <w:t>Controle</w:t>
            </w:r>
          </w:p>
        </w:tc>
        <w:tc>
          <w:tcPr>
            <w:tcW w:type="dxa" w:w="3024"/>
          </w:tcPr>
          <w:p>
            <w:r/>
            <w:r>
              <w:rPr>
                <w:rFonts w:ascii="Calibri" w:hAnsi="Calibri"/>
                <w:sz w:val="20"/>
              </w:rPr>
              <w:t>Kas (Director of Operations)</w:t>
            </w:r>
          </w:p>
        </w:tc>
        <w:tc>
          <w:tcPr>
            <w:tcW w:type="dxa" w:w="3024"/>
          </w:tcPr>
          <w:p>
            <w:r/>
            <w:r>
              <w:rPr>
                <w:rFonts w:ascii="Calibri" w:hAnsi="Calibri"/>
                <w:sz w:val="20"/>
              </w:rPr>
              <w:t>29-04-2026</w:t>
            </w:r>
          </w:p>
        </w:tc>
      </w:tr>
      <w:tr>
        <w:tc>
          <w:tcPr>
            <w:tcW w:type="dxa" w:w="3024"/>
          </w:tcPr>
          <w:p>
            <w:r/>
            <w:r>
              <w:rPr>
                <w:rFonts w:ascii="Calibri" w:hAnsi="Calibri"/>
                <w:sz w:val="20"/>
              </w:rPr>
              <w:t>Goedkeuring</w:t>
            </w:r>
          </w:p>
        </w:tc>
        <w:tc>
          <w:tcPr>
            <w:tcW w:type="dxa" w:w="3024"/>
          </w:tcPr>
          <w:p>
            <w:r/>
            <w:r>
              <w:rPr>
                <w:rFonts w:ascii="Calibri" w:hAnsi="Calibri"/>
                <w:sz w:val="20"/>
              </w:rPr>
              <w:t>Jorick van Gemert (Directeur)</w:t>
            </w:r>
          </w:p>
        </w:tc>
        <w:tc>
          <w:tcPr>
            <w:tcW w:type="dxa" w:w="3024"/>
          </w:tcPr>
          <w:p>
            <w:r/>
            <w:r>
              <w:rPr>
                <w:rFonts w:ascii="Calibri" w:hAnsi="Calibri"/>
                <w:sz w:val="20"/>
              </w:rPr>
              <w:t>___-___-2026</w:t>
            </w:r>
          </w:p>
        </w:tc>
      </w:tr>
    </w:tbl>
    <w:p>
      <w:r>
        <w:br w:type="page"/>
      </w:r>
    </w:p>
    <w:p>
      <w:pPr>
        <w:pStyle w:val="Heading1"/>
      </w:pPr>
      <w:r>
        <w:rPr>
          <w:color w:val="003366"/>
        </w:rPr>
        <w:t>3. Doel &amp; Scope</w:t>
      </w:r>
    </w:p>
    <w:p>
      <w:pPr>
        <w:pStyle w:val="Heading2"/>
      </w:pPr>
      <w:r>
        <w:rPr>
          <w:color w:val="003366"/>
        </w:rPr>
        <w:t>3.1 Doel</w:t>
      </w:r>
    </w:p>
    <w:p>
      <w:r>
        <w:t>Dit document betreft een explosiegevarenanalyse en ATEX-zone-indeling voor de Phoenix Metals vanadiumproductielocatie te IJmuiden. Het doel is het systematisch in kaart brengen van alle locaties waar brandbaar stof kan vrijkomen en het classificeren van deze locaties in ATEX-stofzones conform ATEX 137 (Richtlijn 1999/92/EG) [1] en NEN-EN 60079-10-2 [3].</w:t>
      </w:r>
    </w:p>
    <w:p>
      <w:r>
        <w:t>De analyse identificeert stofkarakteristieken, ontstekingsbronnen en beheersmaatregelen ter voorkoming van stofexplosies binnen de installatie.</w:t>
      </w:r>
    </w:p>
    <w:p>
      <w:pPr>
        <w:pStyle w:val="Heading2"/>
      </w:pPr>
      <w:r>
        <w:rPr>
          <w:color w:val="003366"/>
        </w:rPr>
        <w:t>3.2 Scope</w:t>
      </w:r>
    </w:p>
    <w:p>
      <w:r>
        <w:t>De scope omvat alle procesonderdelen van de Phoenix Metals vanadiumproductie waar brandbaar stof vrijkomt of kan vrijkomen:</w:t>
      </w:r>
    </w:p>
    <w:p>
      <w:pPr>
        <w:pStyle w:val="ListBullet"/>
      </w:pPr>
      <w:r>
        <w:t>Drogen en calcineren van V₂O₅ (processtap 7) — primair risicogebied</w:t>
      </w:r>
    </w:p>
    <w:p>
      <w:pPr>
        <w:pStyle w:val="ListBullet"/>
      </w:pPr>
      <w:r>
        <w:t>Verpakking en big-bag vulling van V₂O₅ poeder (processtap 8) — primair risicogebied</w:t>
      </w:r>
    </w:p>
    <w:p>
      <w:pPr>
        <w:pStyle w:val="ListBullet"/>
      </w:pPr>
      <w:r>
        <w:t>Ontvangst en handling van staalslakken (processtap 1)</w:t>
      </w:r>
    </w:p>
    <w:p>
      <w:pPr>
        <w:pStyle w:val="ListBullet"/>
      </w:pPr>
      <w:r>
        <w:t>Opslag en handling van hulpstoffen (CaO, aluminiumsulfaat)</w:t>
      </w:r>
    </w:p>
    <w:p>
      <w:pPr>
        <w:pStyle w:val="Heading2"/>
      </w:pPr>
      <w:r>
        <w:rPr>
          <w:color w:val="003366"/>
        </w:rPr>
        <w:t>3.3 Referenties</w:t>
      </w:r>
    </w:p>
    <w:p>
      <w:r>
        <w:t>ATEX 137 (1999/92/EG) — Minimale voorschriften voor veiligheid en gezondheid van werknemers [1]; ATEX 114 (2014/34/EU) — Apparatuur voor gebruik in explosiegevaarlijke gebieden [2]; NEN-EN 60079-10-2 — Zone-classificatie voor brandbare stofwolken [3]; Meta-Dossier VBS Element 2 v1.0 [7].</w:t>
      </w:r>
    </w:p>
    <w:p>
      <w:r>
        <w:br w:type="page"/>
      </w:r>
    </w:p>
    <w:p>
      <w:pPr>
        <w:pStyle w:val="Heading1"/>
      </w:pPr>
      <w:r>
        <w:rPr>
          <w:color w:val="003366"/>
        </w:rPr>
        <w:t>4. Wettelijk Kader</w:t>
      </w:r>
    </w:p>
    <w:p>
      <w:r>
        <w:t>Onderstaande tabel geeft een overzicht van de wettelijke en normatieve kaders die van toepassing zijn op de stofexplosie- en ATEX-zone-indeling voor Phoenix Metals.</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left"/>
            </w:pPr>
            <w:r/>
            <w:r>
              <w:rPr>
                <w:rFonts w:ascii="Calibri" w:hAnsi="Calibri"/>
                <w:b/>
                <w:color w:val="FFFFFF"/>
                <w:sz w:val="20"/>
              </w:rPr>
              <w:t>Wetgeving / Norm</w:t>
            </w:r>
          </w:p>
        </w:tc>
        <w:tc>
          <w:tcPr>
            <w:tcW w:type="dxa" w:w="3024"/>
            <w:shd w:fill="003366"/>
          </w:tcPr>
          <w:p>
            <w:pPr>
              <w:jc w:val="left"/>
            </w:pPr>
            <w:r/>
            <w:r>
              <w:rPr>
                <w:rFonts w:ascii="Calibri" w:hAnsi="Calibri"/>
                <w:b/>
                <w:color w:val="FFFFFF"/>
                <w:sz w:val="20"/>
              </w:rPr>
              <w:t>Onderwerp</w:t>
            </w:r>
          </w:p>
        </w:tc>
        <w:tc>
          <w:tcPr>
            <w:tcW w:type="dxa" w:w="3024"/>
            <w:shd w:fill="003366"/>
          </w:tcPr>
          <w:p>
            <w:pPr>
              <w:jc w:val="left"/>
            </w:pPr>
            <w:r/>
            <w:r>
              <w:rPr>
                <w:rFonts w:ascii="Calibri" w:hAnsi="Calibri"/>
                <w:b/>
                <w:color w:val="FFFFFF"/>
                <w:sz w:val="20"/>
              </w:rPr>
              <w:t>Relevantie Phoenix Metals</w:t>
            </w:r>
          </w:p>
        </w:tc>
      </w:tr>
      <w:tr>
        <w:tc>
          <w:tcPr>
            <w:tcW w:type="dxa" w:w="3024"/>
          </w:tcPr>
          <w:p>
            <w:r/>
            <w:r>
              <w:rPr>
                <w:rFonts w:ascii="Calibri" w:hAnsi="Calibri"/>
                <w:b/>
                <w:sz w:val="20"/>
              </w:rPr>
              <w:t>ATEX 137 (1999/92/EG) [1]</w:t>
            </w:r>
          </w:p>
        </w:tc>
        <w:tc>
          <w:tcPr>
            <w:tcW w:type="dxa" w:w="3024"/>
          </w:tcPr>
          <w:p>
            <w:r/>
            <w:r>
              <w:rPr>
                <w:rFonts w:ascii="Calibri" w:hAnsi="Calibri"/>
                <w:sz w:val="20"/>
              </w:rPr>
              <w:t>Minimale voorschriften veiligheid werknemers bij explosiegevaar</w:t>
            </w:r>
          </w:p>
        </w:tc>
        <w:tc>
          <w:tcPr>
            <w:tcW w:type="dxa" w:w="3024"/>
          </w:tcPr>
          <w:p>
            <w:r/>
            <w:r>
              <w:rPr>
                <w:rFonts w:ascii="Calibri" w:hAnsi="Calibri"/>
                <w:sz w:val="20"/>
              </w:rPr>
              <w:t>Verplichte zone-indeling, Explosiebeveiligingsdocument</w:t>
            </w:r>
          </w:p>
        </w:tc>
      </w:tr>
      <w:tr>
        <w:tc>
          <w:tcPr>
            <w:tcW w:type="dxa" w:w="3024"/>
          </w:tcPr>
          <w:p>
            <w:r/>
            <w:r>
              <w:rPr>
                <w:rFonts w:ascii="Calibri" w:hAnsi="Calibri"/>
                <w:b/>
                <w:sz w:val="20"/>
              </w:rPr>
              <w:t>Arbobesluit hoofdstuk 3, afdeling 5</w:t>
            </w:r>
          </w:p>
        </w:tc>
        <w:tc>
          <w:tcPr>
            <w:tcW w:type="dxa" w:w="3024"/>
          </w:tcPr>
          <w:p>
            <w:r/>
            <w:r>
              <w:rPr>
                <w:rFonts w:ascii="Calibri" w:hAnsi="Calibri"/>
                <w:sz w:val="20"/>
              </w:rPr>
              <w:t>Nationale implementatie ATEX 137</w:t>
            </w:r>
          </w:p>
        </w:tc>
        <w:tc>
          <w:tcPr>
            <w:tcW w:type="dxa" w:w="3024"/>
          </w:tcPr>
          <w:p>
            <w:r/>
            <w:r>
              <w:rPr>
                <w:rFonts w:ascii="Calibri" w:hAnsi="Calibri"/>
                <w:sz w:val="20"/>
              </w:rPr>
              <w:t>Explosieve atmosferen — preventie- en beheersmaatregelen</w:t>
            </w:r>
          </w:p>
        </w:tc>
      </w:tr>
      <w:tr>
        <w:tc>
          <w:tcPr>
            <w:tcW w:type="dxa" w:w="3024"/>
          </w:tcPr>
          <w:p>
            <w:r/>
            <w:r>
              <w:rPr>
                <w:rFonts w:ascii="Calibri" w:hAnsi="Calibri"/>
                <w:b/>
                <w:sz w:val="20"/>
              </w:rPr>
              <w:t>ATEX 114 (2014/34/EU) [2]</w:t>
            </w:r>
          </w:p>
        </w:tc>
        <w:tc>
          <w:tcPr>
            <w:tcW w:type="dxa" w:w="3024"/>
          </w:tcPr>
          <w:p>
            <w:r/>
            <w:r>
              <w:rPr>
                <w:rFonts w:ascii="Calibri" w:hAnsi="Calibri"/>
                <w:sz w:val="20"/>
              </w:rPr>
              <w:t>Apparatuur voor explosiegevaarlijke omgevingen</w:t>
            </w:r>
          </w:p>
        </w:tc>
        <w:tc>
          <w:tcPr>
            <w:tcW w:type="dxa" w:w="3024"/>
          </w:tcPr>
          <w:p>
            <w:r/>
            <w:r>
              <w:rPr>
                <w:rFonts w:ascii="Calibri" w:hAnsi="Calibri"/>
                <w:sz w:val="20"/>
              </w:rPr>
              <w:t>Categorie apparatuur per zone (II 1D/2D/3D)</w:t>
            </w:r>
          </w:p>
        </w:tc>
      </w:tr>
      <w:tr>
        <w:tc>
          <w:tcPr>
            <w:tcW w:type="dxa" w:w="3024"/>
          </w:tcPr>
          <w:p>
            <w:r/>
            <w:r>
              <w:rPr>
                <w:rFonts w:ascii="Calibri" w:hAnsi="Calibri"/>
                <w:b/>
                <w:sz w:val="20"/>
              </w:rPr>
              <w:t>NEN-EN 60079-10-2 [3]</w:t>
            </w:r>
          </w:p>
        </w:tc>
        <w:tc>
          <w:tcPr>
            <w:tcW w:type="dxa" w:w="3024"/>
          </w:tcPr>
          <w:p>
            <w:r/>
            <w:r>
              <w:rPr>
                <w:rFonts w:ascii="Calibri" w:hAnsi="Calibri"/>
                <w:sz w:val="20"/>
              </w:rPr>
              <w:t>Zone-classificatie brandbare stofwolken</w:t>
            </w:r>
          </w:p>
        </w:tc>
        <w:tc>
          <w:tcPr>
            <w:tcW w:type="dxa" w:w="3024"/>
          </w:tcPr>
          <w:p>
            <w:r/>
            <w:r>
              <w:rPr>
                <w:rFonts w:ascii="Calibri" w:hAnsi="Calibri"/>
                <w:sz w:val="20"/>
              </w:rPr>
              <w:t>Bepaling zones 20, 21, 22 — stof</w:t>
            </w:r>
          </w:p>
        </w:tc>
      </w:tr>
      <w:tr>
        <w:tc>
          <w:tcPr>
            <w:tcW w:type="dxa" w:w="3024"/>
          </w:tcPr>
          <w:p>
            <w:r/>
            <w:r>
              <w:rPr>
                <w:rFonts w:ascii="Calibri" w:hAnsi="Calibri"/>
                <w:b/>
                <w:sz w:val="20"/>
              </w:rPr>
              <w:t>NEN-EN 1127-1 [4]</w:t>
            </w:r>
          </w:p>
        </w:tc>
        <w:tc>
          <w:tcPr>
            <w:tcW w:type="dxa" w:w="3024"/>
          </w:tcPr>
          <w:p>
            <w:r/>
            <w:r>
              <w:rPr>
                <w:rFonts w:ascii="Calibri" w:hAnsi="Calibri"/>
                <w:sz w:val="20"/>
              </w:rPr>
              <w:t>Explosiepreventie — basisprincipes</w:t>
            </w:r>
          </w:p>
        </w:tc>
        <w:tc>
          <w:tcPr>
            <w:tcW w:type="dxa" w:w="3024"/>
          </w:tcPr>
          <w:p>
            <w:r/>
            <w:r>
              <w:rPr>
                <w:rFonts w:ascii="Calibri" w:hAnsi="Calibri"/>
                <w:sz w:val="20"/>
              </w:rPr>
              <w:t>Identificatie ontstekingsbronnen en preventiemaatregelen</w:t>
            </w:r>
          </w:p>
        </w:tc>
      </w:tr>
      <w:tr>
        <w:tc>
          <w:tcPr>
            <w:tcW w:type="dxa" w:w="3024"/>
          </w:tcPr>
          <w:p>
            <w:r/>
            <w:r>
              <w:rPr>
                <w:rFonts w:ascii="Calibri" w:hAnsi="Calibri"/>
                <w:b/>
                <w:sz w:val="20"/>
              </w:rPr>
              <w:t>NEN-EN 14491 [5]</w:t>
            </w:r>
          </w:p>
        </w:tc>
        <w:tc>
          <w:tcPr>
            <w:tcW w:type="dxa" w:w="3024"/>
          </w:tcPr>
          <w:p>
            <w:r/>
            <w:r>
              <w:rPr>
                <w:rFonts w:ascii="Calibri" w:hAnsi="Calibri"/>
                <w:sz w:val="20"/>
              </w:rPr>
              <w:t>Stofexplosiebeveiliging — venting</w:t>
            </w:r>
          </w:p>
        </w:tc>
        <w:tc>
          <w:tcPr>
            <w:tcW w:type="dxa" w:w="3024"/>
          </w:tcPr>
          <w:p>
            <w:r/>
            <w:r>
              <w:rPr>
                <w:rFonts w:ascii="Calibri" w:hAnsi="Calibri"/>
                <w:sz w:val="20"/>
              </w:rPr>
              <w:t>Ontwerp explosieontlastings systemen</w:t>
            </w:r>
          </w:p>
        </w:tc>
      </w:tr>
    </w:tbl>
    <w:p/>
    <w:p>
      <w:r>
        <w:rPr>
          <w:b/>
        </w:rPr>
        <w:t>BRZO 2015 (Seveso III) [6]</w:t>
      </w:r>
    </w:p>
    <w:p>
      <w:r>
        <w:t>Phoenix Metals is een BRZO 2015 inrichting (lagere dresser). Het Explosiebeveiligingsdocument (EBD) is een verplicht onderdeel van het VRIB conform BRZO 2015 artikel 5 en 6 [6]. De stofexplosieanalyse moet geïntegreerd zijn in het Veiligheidsrapport.</w:t>
      </w:r>
    </w:p>
    <w:p>
      <w:r>
        <w:br w:type="page"/>
      </w:r>
    </w:p>
    <w:p>
      <w:pPr>
        <w:pStyle w:val="Heading1"/>
      </w:pPr>
      <w:r>
        <w:rPr>
          <w:color w:val="003366"/>
        </w:rPr>
        <w:t>5. Begrippen &amp; Definities</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536"/>
        <w:gridCol w:w="4536"/>
      </w:tblGrid>
      <w:tr>
        <w:tc>
          <w:tcPr>
            <w:tcW w:type="dxa" w:w="4536"/>
            <w:shd w:fill="003366"/>
          </w:tcPr>
          <w:p>
            <w:pPr>
              <w:jc w:val="left"/>
            </w:pPr>
            <w:r/>
            <w:r>
              <w:rPr>
                <w:rFonts w:ascii="Calibri" w:hAnsi="Calibri"/>
                <w:b/>
                <w:color w:val="FFFFFF"/>
                <w:sz w:val="20"/>
              </w:rPr>
              <w:t>Begrip</w:t>
            </w:r>
          </w:p>
        </w:tc>
        <w:tc>
          <w:tcPr>
            <w:tcW w:type="dxa" w:w="4536"/>
            <w:shd w:fill="003366"/>
          </w:tcPr>
          <w:p>
            <w:pPr>
              <w:jc w:val="left"/>
            </w:pPr>
            <w:r/>
            <w:r>
              <w:rPr>
                <w:rFonts w:ascii="Calibri" w:hAnsi="Calibri"/>
                <w:b/>
                <w:color w:val="FFFFFF"/>
                <w:sz w:val="20"/>
              </w:rPr>
              <w:t>Definitie</w:t>
            </w:r>
          </w:p>
        </w:tc>
      </w:tr>
      <w:tr>
        <w:tc>
          <w:tcPr>
            <w:tcW w:type="dxa" w:w="4536"/>
          </w:tcPr>
          <w:p>
            <w:r/>
            <w:r>
              <w:rPr>
                <w:rFonts w:ascii="Calibri" w:hAnsi="Calibri"/>
                <w:b/>
                <w:sz w:val="20"/>
              </w:rPr>
              <w:t>Kst (bar·m/s)</w:t>
            </w:r>
          </w:p>
        </w:tc>
        <w:tc>
          <w:tcPr>
            <w:tcW w:type="dxa" w:w="4536"/>
          </w:tcPr>
          <w:p>
            <w:r/>
            <w:r>
              <w:rPr>
                <w:rFonts w:ascii="Calibri" w:hAnsi="Calibri"/>
                <w:sz w:val="20"/>
              </w:rPr>
              <w:t>Stofexplosie-index — maat voor de hevigheid van een stofexplosie. Bepaald in een gesloten testvat (Kühner-apparaat) volgens EN 14034-1.</w:t>
            </w:r>
          </w:p>
        </w:tc>
      </w:tr>
      <w:tr>
        <w:tc>
          <w:tcPr>
            <w:tcW w:type="dxa" w:w="4536"/>
          </w:tcPr>
          <w:p>
            <w:r/>
            <w:r>
              <w:rPr>
                <w:rFonts w:ascii="Calibri" w:hAnsi="Calibri"/>
                <w:b/>
                <w:sz w:val="20"/>
              </w:rPr>
              <w:t>Pmax (bar)</w:t>
            </w:r>
          </w:p>
        </w:tc>
        <w:tc>
          <w:tcPr>
            <w:tcW w:type="dxa" w:w="4536"/>
          </w:tcPr>
          <w:p>
            <w:r/>
            <w:r>
              <w:rPr>
                <w:rFonts w:ascii="Calibri" w:hAnsi="Calibri"/>
                <w:sz w:val="20"/>
              </w:rPr>
              <w:t>Maximale explosiedruk — de hoogste druk die optreedt bij ontsteking van een optimale stofwolkconcentratie in een gesloten vat.</w:t>
            </w:r>
          </w:p>
        </w:tc>
      </w:tr>
      <w:tr>
        <w:tc>
          <w:tcPr>
            <w:tcW w:type="dxa" w:w="4536"/>
          </w:tcPr>
          <w:p>
            <w:r/>
            <w:r>
              <w:rPr>
                <w:rFonts w:ascii="Calibri" w:hAnsi="Calibri"/>
                <w:b/>
                <w:sz w:val="20"/>
              </w:rPr>
              <w:t>MIE (mJ)</w:t>
            </w:r>
          </w:p>
        </w:tc>
        <w:tc>
          <w:tcPr>
            <w:tcW w:type="dxa" w:w="4536"/>
          </w:tcPr>
          <w:p>
            <w:r/>
            <w:r>
              <w:rPr>
                <w:rFonts w:ascii="Calibri" w:hAnsi="Calibri"/>
                <w:sz w:val="20"/>
              </w:rPr>
              <w:t>Minimale Ontstekingsenergie — de minimale energie die nodig is om een stofwolk te ontsteken. Bepaalt de gevoeligheid voor elektrostatische ontlading.</w:t>
            </w:r>
          </w:p>
        </w:tc>
      </w:tr>
      <w:tr>
        <w:tc>
          <w:tcPr>
            <w:tcW w:type="dxa" w:w="4536"/>
          </w:tcPr>
          <w:p>
            <w:r/>
            <w:r>
              <w:rPr>
                <w:rFonts w:ascii="Calibri" w:hAnsi="Calibri"/>
                <w:b/>
                <w:sz w:val="20"/>
              </w:rPr>
              <w:t>MIT (°C)</w:t>
            </w:r>
          </w:p>
        </w:tc>
        <w:tc>
          <w:tcPr>
            <w:tcW w:type="dxa" w:w="4536"/>
          </w:tcPr>
          <w:p>
            <w:r/>
            <w:r>
              <w:rPr>
                <w:rFonts w:ascii="Calibri" w:hAnsi="Calibri"/>
                <w:sz w:val="20"/>
              </w:rPr>
              <w:t>Minimale Ontstekingstemperatuur stofwolk — de laagste temperatuur van een hete oppervlakte waarop een stofwolk ontsteekt.</w:t>
            </w:r>
          </w:p>
        </w:tc>
      </w:tr>
      <w:tr>
        <w:tc>
          <w:tcPr>
            <w:tcW w:type="dxa" w:w="4536"/>
          </w:tcPr>
          <w:p>
            <w:r/>
            <w:r>
              <w:rPr>
                <w:rFonts w:ascii="Calibri" w:hAnsi="Calibri"/>
                <w:b/>
                <w:sz w:val="20"/>
              </w:rPr>
              <w:t>MIT-laag (°C)</w:t>
            </w:r>
          </w:p>
        </w:tc>
        <w:tc>
          <w:tcPr>
            <w:tcW w:type="dxa" w:w="4536"/>
          </w:tcPr>
          <w:p>
            <w:r/>
            <w:r>
              <w:rPr>
                <w:rFonts w:ascii="Calibri" w:hAnsi="Calibri"/>
                <w:sz w:val="20"/>
              </w:rPr>
              <w:t>Minimale Ontstekingstemperatuur stoflaag — de laagste temperatuur waarop een stoflaag van 5 mm dikte ontsteekt.</w:t>
            </w:r>
          </w:p>
        </w:tc>
      </w:tr>
      <w:tr>
        <w:tc>
          <w:tcPr>
            <w:tcW w:type="dxa" w:w="4536"/>
          </w:tcPr>
          <w:p>
            <w:r/>
            <w:r>
              <w:rPr>
                <w:rFonts w:ascii="Calibri" w:hAnsi="Calibri"/>
                <w:b/>
                <w:sz w:val="20"/>
              </w:rPr>
              <w:t>Dust Explosion Pentagon</w:t>
            </w:r>
          </w:p>
        </w:tc>
        <w:tc>
          <w:tcPr>
            <w:tcW w:type="dxa" w:w="4536"/>
          </w:tcPr>
          <w:p>
            <w:r/>
            <w:r>
              <w:rPr>
                <w:rFonts w:ascii="Calibri" w:hAnsi="Calibri"/>
                <w:sz w:val="20"/>
              </w:rPr>
              <w:t>Vijf voorwaarden voor een stofexplosie: (1) brandbaar stof, (2) zuurstof, (3) dispersie (stofwolk), (4) ingesloten ruimte, (5) ontstekingsbron.</w:t>
            </w:r>
          </w:p>
        </w:tc>
      </w:tr>
      <w:tr>
        <w:tc>
          <w:tcPr>
            <w:tcW w:type="dxa" w:w="4536"/>
          </w:tcPr>
          <w:p>
            <w:r/>
            <w:r>
              <w:rPr>
                <w:rFonts w:ascii="Calibri" w:hAnsi="Calibri"/>
                <w:b/>
                <w:sz w:val="20"/>
              </w:rPr>
              <w:t>ATEX-zone 20</w:t>
            </w:r>
          </w:p>
        </w:tc>
        <w:tc>
          <w:tcPr>
            <w:tcW w:type="dxa" w:w="4536"/>
          </w:tcPr>
          <w:p>
            <w:r/>
            <w:r>
              <w:rPr>
                <w:rFonts w:ascii="Calibri" w:hAnsi="Calibri"/>
                <w:sz w:val="20"/>
              </w:rPr>
              <w:t>Gebied waar continu of langdurig een explosieve stofwolk atmosfeer aanwezig is (&gt;1000 uur/jaar).</w:t>
            </w:r>
          </w:p>
        </w:tc>
      </w:tr>
      <w:tr>
        <w:tc>
          <w:tcPr>
            <w:tcW w:type="dxa" w:w="4536"/>
          </w:tcPr>
          <w:p>
            <w:r/>
            <w:r>
              <w:rPr>
                <w:rFonts w:ascii="Calibri" w:hAnsi="Calibri"/>
                <w:b/>
                <w:sz w:val="20"/>
              </w:rPr>
              <w:t>ATEX-zone 21</w:t>
            </w:r>
          </w:p>
        </w:tc>
        <w:tc>
          <w:tcPr>
            <w:tcW w:type="dxa" w:w="4536"/>
          </w:tcPr>
          <w:p>
            <w:r/>
            <w:r>
              <w:rPr>
                <w:rFonts w:ascii="Calibri" w:hAnsi="Calibri"/>
                <w:sz w:val="20"/>
              </w:rPr>
              <w:t>Gebied waar regelmatig een explosieve stofwolk atmosfeer kan ontstaan (10–1000 uur/jaar).</w:t>
            </w:r>
          </w:p>
        </w:tc>
      </w:tr>
      <w:tr>
        <w:tc>
          <w:tcPr>
            <w:tcW w:type="dxa" w:w="4536"/>
          </w:tcPr>
          <w:p>
            <w:r/>
            <w:r>
              <w:rPr>
                <w:rFonts w:ascii="Calibri" w:hAnsi="Calibri"/>
                <w:b/>
                <w:sz w:val="20"/>
              </w:rPr>
              <w:t>ATEX-zone 22</w:t>
            </w:r>
          </w:p>
        </w:tc>
        <w:tc>
          <w:tcPr>
            <w:tcW w:type="dxa" w:w="4536"/>
          </w:tcPr>
          <w:p>
            <w:r/>
            <w:r>
              <w:rPr>
                <w:rFonts w:ascii="Calibri" w:hAnsi="Calibri"/>
                <w:sz w:val="20"/>
              </w:rPr>
              <w:t>Gebied waar zelden en kortdurend een explosieve stofwolk atmosfeer kan ontstaan (&lt;10 uur/jaar).</w:t>
            </w:r>
          </w:p>
        </w:tc>
      </w:tr>
      <w:tr>
        <w:tc>
          <w:tcPr>
            <w:tcW w:type="dxa" w:w="4536"/>
          </w:tcPr>
          <w:p>
            <w:r/>
            <w:r>
              <w:rPr>
                <w:rFonts w:ascii="Calibri" w:hAnsi="Calibri"/>
                <w:b/>
                <w:sz w:val="20"/>
              </w:rPr>
              <w:t>Explosieve atmosfeer</w:t>
            </w:r>
          </w:p>
        </w:tc>
        <w:tc>
          <w:tcPr>
            <w:tcW w:type="dxa" w:w="4536"/>
          </w:tcPr>
          <w:p>
            <w:r/>
            <w:r>
              <w:rPr>
                <w:rFonts w:ascii="Calibri" w:hAnsi="Calibri"/>
                <w:sz w:val="20"/>
              </w:rPr>
              <w:t>Mengsel van lucht en brandbare stoffen in de vorm van gassen, dampen, nevels of stof, dat na ontsteking door een ontstekingsbron zelfstandig voortbrandt.</w:t>
            </w:r>
          </w:p>
        </w:tc>
      </w:tr>
      <w:tr>
        <w:tc>
          <w:tcPr>
            <w:tcW w:type="dxa" w:w="4536"/>
          </w:tcPr>
          <w:p>
            <w:r/>
            <w:r>
              <w:rPr>
                <w:rFonts w:ascii="Calibri" w:hAnsi="Calibri"/>
                <w:b/>
                <w:sz w:val="20"/>
              </w:rPr>
              <w:t>Brandbaar stof</w:t>
            </w:r>
          </w:p>
        </w:tc>
        <w:tc>
          <w:tcPr>
            <w:tcW w:type="dxa" w:w="4536"/>
          </w:tcPr>
          <w:p>
            <w:r/>
            <w:r>
              <w:rPr>
                <w:rFonts w:ascii="Calibri" w:hAnsi="Calibri"/>
                <w:sz w:val="20"/>
              </w:rPr>
              <w:t>Stof dat, wanneer gedispergeerd in lucht en ontstoken, een brandoverdracht door de hele stofwolk kan onderhouden.</w:t>
            </w:r>
          </w:p>
        </w:tc>
      </w:tr>
    </w:tbl>
    <w:p>
      <w:r>
        <w:br w:type="page"/>
      </w:r>
    </w:p>
    <w:p>
      <w:pPr>
        <w:pStyle w:val="Heading1"/>
      </w:pPr>
      <w:r>
        <w:rPr>
          <w:color w:val="003366"/>
        </w:rPr>
        <w:t>6. Stofkarakteristieken</w:t>
      </w:r>
    </w:p>
    <w:p>
      <w:r>
        <w:t>Onderstaande tabel bevat de stofexplosieparameters voor de relevante stoffen binnen de Phoenix Metals installatie. Waarden zijn gebaseerd op literatuurgegevens en fabrieksspecifieke data [7]. Waar exacte waarden ontbreken, wordt verwijzing gemaakt naar noodzakelijke stofexplosietesten (Kühner-apparaat) [3].</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134"/>
        <w:gridCol w:w="1134"/>
        <w:gridCol w:w="1134"/>
        <w:gridCol w:w="1134"/>
        <w:gridCol w:w="1134"/>
        <w:gridCol w:w="1134"/>
        <w:gridCol w:w="1134"/>
        <w:gridCol w:w="1134"/>
      </w:tblGrid>
      <w:tr>
        <w:tc>
          <w:tcPr>
            <w:tcW w:type="dxa" w:w="1134"/>
            <w:shd w:fill="003366"/>
          </w:tcPr>
          <w:p>
            <w:pPr>
              <w:jc w:val="left"/>
            </w:pPr>
            <w:r/>
            <w:r>
              <w:rPr>
                <w:rFonts w:ascii="Calibri" w:hAnsi="Calibri"/>
                <w:b/>
                <w:color w:val="FFFFFF"/>
                <w:sz w:val="20"/>
              </w:rPr>
              <w:t>Stof</w:t>
            </w:r>
          </w:p>
        </w:tc>
        <w:tc>
          <w:tcPr>
            <w:tcW w:type="dxa" w:w="1134"/>
            <w:shd w:fill="003366"/>
          </w:tcPr>
          <w:p>
            <w:pPr>
              <w:jc w:val="left"/>
            </w:pPr>
            <w:r/>
            <w:r>
              <w:rPr>
                <w:rFonts w:ascii="Calibri" w:hAnsi="Calibri"/>
                <w:b/>
                <w:color w:val="FFFFFF"/>
                <w:sz w:val="20"/>
              </w:rPr>
              <w:t>Deeltjesgrootte</w:t>
            </w:r>
          </w:p>
        </w:tc>
        <w:tc>
          <w:tcPr>
            <w:tcW w:type="dxa" w:w="1134"/>
            <w:shd w:fill="003366"/>
          </w:tcPr>
          <w:p>
            <w:pPr>
              <w:jc w:val="left"/>
            </w:pPr>
            <w:r/>
            <w:r>
              <w:rPr>
                <w:rFonts w:ascii="Calibri" w:hAnsi="Calibri"/>
                <w:b/>
                <w:color w:val="FFFFFF"/>
                <w:sz w:val="20"/>
              </w:rPr>
              <w:t>Kst</w:t>
              <w:br/>
              <w:t>(bar·m/s)</w:t>
            </w:r>
          </w:p>
        </w:tc>
        <w:tc>
          <w:tcPr>
            <w:tcW w:type="dxa" w:w="1134"/>
            <w:shd w:fill="003366"/>
          </w:tcPr>
          <w:p>
            <w:pPr>
              <w:jc w:val="left"/>
            </w:pPr>
            <w:r/>
            <w:r>
              <w:rPr>
                <w:rFonts w:ascii="Calibri" w:hAnsi="Calibri"/>
                <w:b/>
                <w:color w:val="FFFFFF"/>
                <w:sz w:val="20"/>
              </w:rPr>
              <w:t>Pmax</w:t>
              <w:br/>
              <w:t>(bar)</w:t>
            </w:r>
          </w:p>
        </w:tc>
        <w:tc>
          <w:tcPr>
            <w:tcW w:type="dxa" w:w="1134"/>
            <w:shd w:fill="003366"/>
          </w:tcPr>
          <w:p>
            <w:pPr>
              <w:jc w:val="left"/>
            </w:pPr>
            <w:r/>
            <w:r>
              <w:rPr>
                <w:rFonts w:ascii="Calibri" w:hAnsi="Calibri"/>
                <w:b/>
                <w:color w:val="FFFFFF"/>
                <w:sz w:val="20"/>
              </w:rPr>
              <w:t>MIE</w:t>
              <w:br/>
              <w:t>(mJ)</w:t>
            </w:r>
          </w:p>
        </w:tc>
        <w:tc>
          <w:tcPr>
            <w:tcW w:type="dxa" w:w="1134"/>
            <w:shd w:fill="003366"/>
          </w:tcPr>
          <w:p>
            <w:pPr>
              <w:jc w:val="left"/>
            </w:pPr>
            <w:r/>
            <w:r>
              <w:rPr>
                <w:rFonts w:ascii="Calibri" w:hAnsi="Calibri"/>
                <w:b/>
                <w:color w:val="FFFFFF"/>
                <w:sz w:val="20"/>
              </w:rPr>
              <w:t>MIT wolk</w:t>
              <w:br/>
              <w:t>(°C)</w:t>
            </w:r>
          </w:p>
        </w:tc>
        <w:tc>
          <w:tcPr>
            <w:tcW w:type="dxa" w:w="1134"/>
            <w:shd w:fill="003366"/>
          </w:tcPr>
          <w:p>
            <w:pPr>
              <w:jc w:val="left"/>
            </w:pPr>
            <w:r/>
            <w:r>
              <w:rPr>
                <w:rFonts w:ascii="Calibri" w:hAnsi="Calibri"/>
                <w:b/>
                <w:color w:val="FFFFFF"/>
                <w:sz w:val="20"/>
              </w:rPr>
              <w:t>MIT laag</w:t>
              <w:br/>
              <w:t>(°C)</w:t>
            </w:r>
          </w:p>
        </w:tc>
        <w:tc>
          <w:tcPr>
            <w:tcW w:type="dxa" w:w="1134"/>
            <w:shd w:fill="003366"/>
          </w:tcPr>
          <w:p>
            <w:pPr>
              <w:jc w:val="left"/>
            </w:pPr>
            <w:r/>
            <w:r>
              <w:rPr>
                <w:rFonts w:ascii="Calibri" w:hAnsi="Calibri"/>
                <w:b/>
                <w:color w:val="FFFFFF"/>
                <w:sz w:val="20"/>
              </w:rPr>
              <w:t>Klasse</w:t>
            </w:r>
          </w:p>
        </w:tc>
      </w:tr>
      <w:tr>
        <w:tc>
          <w:tcPr>
            <w:tcW w:type="dxa" w:w="1134"/>
          </w:tcPr>
          <w:p>
            <w:r/>
            <w:r>
              <w:rPr>
                <w:rFonts w:ascii="Calibri" w:hAnsi="Calibri"/>
                <w:b/>
                <w:sz w:val="20"/>
              </w:rPr>
              <w:t>Vanadiumpentoxide (V₂O₅) poeder</w:t>
            </w:r>
          </w:p>
        </w:tc>
        <w:tc>
          <w:tcPr>
            <w:tcW w:type="dxa" w:w="1134"/>
          </w:tcPr>
          <w:p>
            <w:r/>
            <w:r>
              <w:rPr>
                <w:rFonts w:ascii="Calibri" w:hAnsi="Calibri"/>
                <w:sz w:val="20"/>
              </w:rPr>
              <w:t>&lt;63 µm (fijn poeder na calcinatie)</w:t>
            </w:r>
          </w:p>
        </w:tc>
        <w:tc>
          <w:tcPr>
            <w:tcW w:type="dxa" w:w="1134"/>
          </w:tcPr>
          <w:p>
            <w:r/>
            <w:r>
              <w:rPr>
                <w:rFonts w:ascii="Calibri" w:hAnsi="Calibri"/>
                <w:sz w:val="20"/>
              </w:rPr>
              <w:t>50–100*</w:t>
            </w:r>
          </w:p>
        </w:tc>
        <w:tc>
          <w:tcPr>
            <w:tcW w:type="dxa" w:w="1134"/>
          </w:tcPr>
          <w:p>
            <w:r/>
            <w:r>
              <w:rPr>
                <w:rFonts w:ascii="Calibri" w:hAnsi="Calibri"/>
                <w:sz w:val="20"/>
              </w:rPr>
              <w:t>4–6*</w:t>
            </w:r>
          </w:p>
        </w:tc>
        <w:tc>
          <w:tcPr>
            <w:tcW w:type="dxa" w:w="1134"/>
          </w:tcPr>
          <w:p>
            <w:r/>
            <w:r>
              <w:rPr>
                <w:rFonts w:ascii="Calibri" w:hAnsi="Calibri"/>
                <w:sz w:val="20"/>
              </w:rPr>
              <w:t>10–30*</w:t>
            </w:r>
          </w:p>
        </w:tc>
        <w:tc>
          <w:tcPr>
            <w:tcW w:type="dxa" w:w="1134"/>
          </w:tcPr>
          <w:p>
            <w:r/>
            <w:r>
              <w:rPr>
                <w:rFonts w:ascii="Calibri" w:hAnsi="Calibri"/>
                <w:sz w:val="20"/>
              </w:rPr>
              <w:t>&gt;500†</w:t>
            </w:r>
          </w:p>
        </w:tc>
        <w:tc>
          <w:tcPr>
            <w:tcW w:type="dxa" w:w="1134"/>
          </w:tcPr>
          <w:p>
            <w:r/>
            <w:r>
              <w:rPr>
                <w:rFonts w:ascii="Calibri" w:hAnsi="Calibri"/>
                <w:sz w:val="20"/>
              </w:rPr>
              <w:t>&gt;400†</w:t>
            </w:r>
          </w:p>
        </w:tc>
        <w:tc>
          <w:tcPr>
            <w:tcW w:type="dxa" w:w="1134"/>
          </w:tcPr>
          <w:p>
            <w:r/>
            <w:r>
              <w:rPr>
                <w:rFonts w:ascii="Calibri" w:hAnsi="Calibri"/>
                <w:sz w:val="20"/>
              </w:rPr>
              <w:t>St-1</w:t>
            </w:r>
          </w:p>
        </w:tc>
      </w:tr>
      <w:tr>
        <w:tc>
          <w:tcPr>
            <w:tcW w:type="dxa" w:w="1134"/>
          </w:tcPr>
          <w:p>
            <w:r/>
            <w:r>
              <w:rPr>
                <w:rFonts w:ascii="Calibri" w:hAnsi="Calibri"/>
                <w:b/>
                <w:sz w:val="20"/>
              </w:rPr>
              <w:t>Staalaslakken (fijn stof)</w:t>
            </w:r>
          </w:p>
        </w:tc>
        <w:tc>
          <w:tcPr>
            <w:tcW w:type="dxa" w:w="1134"/>
          </w:tcPr>
          <w:p>
            <w:r/>
            <w:r>
              <w:rPr>
                <w:rFonts w:ascii="Calibri" w:hAnsi="Calibri"/>
                <w:sz w:val="20"/>
              </w:rPr>
              <w:t>Variabel (&lt;63 µm bij handling)</w:t>
            </w:r>
          </w:p>
        </w:tc>
        <w:tc>
          <w:tcPr>
            <w:tcW w:type="dxa" w:w="1134"/>
          </w:tcPr>
          <w:p>
            <w:r/>
            <w:r>
              <w:rPr>
                <w:rFonts w:ascii="Calibri" w:hAnsi="Calibri"/>
                <w:sz w:val="20"/>
              </w:rPr>
              <w:t>TBD‡</w:t>
            </w:r>
          </w:p>
        </w:tc>
        <w:tc>
          <w:tcPr>
            <w:tcW w:type="dxa" w:w="1134"/>
          </w:tcPr>
          <w:p>
            <w:r/>
            <w:r>
              <w:rPr>
                <w:rFonts w:ascii="Calibri" w:hAnsi="Calibri"/>
                <w:sz w:val="20"/>
              </w:rPr>
              <w:t>TBD‡</w:t>
            </w:r>
          </w:p>
        </w:tc>
        <w:tc>
          <w:tcPr>
            <w:tcW w:type="dxa" w:w="1134"/>
          </w:tcPr>
          <w:p>
            <w:r/>
            <w:r>
              <w:rPr>
                <w:rFonts w:ascii="Calibri" w:hAnsi="Calibri"/>
                <w:sz w:val="20"/>
              </w:rPr>
              <w:t>&gt;100§</w:t>
            </w:r>
          </w:p>
        </w:tc>
        <w:tc>
          <w:tcPr>
            <w:tcW w:type="dxa" w:w="1134"/>
          </w:tcPr>
          <w:p>
            <w:r/>
            <w:r>
              <w:rPr>
                <w:rFonts w:ascii="Calibri" w:hAnsi="Calibri"/>
                <w:sz w:val="20"/>
              </w:rPr>
              <w:t>TBD‡</w:t>
            </w:r>
          </w:p>
        </w:tc>
        <w:tc>
          <w:tcPr>
            <w:tcW w:type="dxa" w:w="1134"/>
          </w:tcPr>
          <w:p>
            <w:r/>
            <w:r>
              <w:rPr>
                <w:rFonts w:ascii="Calibri" w:hAnsi="Calibri"/>
                <w:sz w:val="20"/>
              </w:rPr>
              <w:t>TBD‡</w:t>
            </w:r>
          </w:p>
        </w:tc>
        <w:tc>
          <w:tcPr>
            <w:tcW w:type="dxa" w:w="1134"/>
          </w:tcPr>
          <w:p>
            <w:r/>
            <w:r>
              <w:rPr>
                <w:rFonts w:ascii="Calibri" w:hAnsi="Calibri"/>
                <w:sz w:val="20"/>
              </w:rPr>
              <w:t>TBD‡</w:t>
            </w:r>
          </w:p>
        </w:tc>
      </w:tr>
      <w:tr>
        <w:tc>
          <w:tcPr>
            <w:tcW w:type="dxa" w:w="1134"/>
          </w:tcPr>
          <w:p>
            <w:r/>
            <w:r>
              <w:rPr>
                <w:rFonts w:ascii="Calibri" w:hAnsi="Calibri"/>
                <w:b/>
                <w:sz w:val="20"/>
              </w:rPr>
              <w:t>Calciumoxide (CaO) stof</w:t>
            </w:r>
          </w:p>
        </w:tc>
        <w:tc>
          <w:tcPr>
            <w:tcW w:type="dxa" w:w="1134"/>
          </w:tcPr>
          <w:p>
            <w:r/>
            <w:r>
              <w:rPr>
                <w:rFonts w:ascii="Calibri" w:hAnsi="Calibri"/>
                <w:sz w:val="20"/>
              </w:rPr>
              <w:t>&lt;63 µm</w:t>
            </w:r>
          </w:p>
        </w:tc>
        <w:tc>
          <w:tcPr>
            <w:tcW w:type="dxa" w:w="1134"/>
          </w:tcPr>
          <w:p>
            <w:r/>
            <w:r>
              <w:rPr>
                <w:rFonts w:ascii="Calibri" w:hAnsi="Calibri"/>
                <w:sz w:val="20"/>
              </w:rPr>
              <w:t>Niet-explosief¶</w:t>
            </w:r>
          </w:p>
        </w:tc>
        <w:tc>
          <w:tcPr>
            <w:tcW w:type="dxa" w:w="1134"/>
          </w:tcPr>
          <w:p>
            <w:r/>
            <w:r>
              <w:rPr>
                <w:rFonts w:ascii="Calibri" w:hAnsi="Calibri"/>
                <w:sz w:val="20"/>
              </w:rPr>
              <w:t>N.v.t.</w:t>
            </w:r>
          </w:p>
        </w:tc>
        <w:tc>
          <w:tcPr>
            <w:tcW w:type="dxa" w:w="1134"/>
          </w:tcPr>
          <w:p>
            <w:r/>
            <w:r>
              <w:rPr>
                <w:rFonts w:ascii="Calibri" w:hAnsi="Calibri"/>
                <w:sz w:val="20"/>
              </w:rPr>
              <w:t>N.v.t.</w:t>
            </w:r>
          </w:p>
        </w:tc>
        <w:tc>
          <w:tcPr>
            <w:tcW w:type="dxa" w:w="1134"/>
          </w:tcPr>
          <w:p>
            <w:r/>
            <w:r>
              <w:rPr>
                <w:rFonts w:ascii="Calibri" w:hAnsi="Calibri"/>
                <w:sz w:val="20"/>
              </w:rPr>
              <w:t>N.v.t.</w:t>
            </w:r>
          </w:p>
        </w:tc>
        <w:tc>
          <w:tcPr>
            <w:tcW w:type="dxa" w:w="1134"/>
          </w:tcPr>
          <w:p>
            <w:r/>
            <w:r>
              <w:rPr>
                <w:rFonts w:ascii="Calibri" w:hAnsi="Calibri"/>
                <w:sz w:val="20"/>
              </w:rPr>
              <w:t>&gt;450</w:t>
            </w:r>
          </w:p>
        </w:tc>
        <w:tc>
          <w:tcPr>
            <w:tcW w:type="dxa" w:w="1134"/>
          </w:tcPr>
          <w:p>
            <w:r/>
            <w:r>
              <w:rPr>
                <w:rFonts w:ascii="Calibri" w:hAnsi="Calibri"/>
                <w:sz w:val="20"/>
              </w:rPr>
              <w:t>Niet-explosief</w:t>
            </w:r>
          </w:p>
        </w:tc>
      </w:tr>
      <w:tr>
        <w:tc>
          <w:tcPr>
            <w:tcW w:type="dxa" w:w="1134"/>
          </w:tcPr>
          <w:p>
            <w:r/>
            <w:r>
              <w:rPr>
                <w:rFonts w:ascii="Calibri" w:hAnsi="Calibri"/>
                <w:b/>
                <w:sz w:val="20"/>
              </w:rPr>
              <w:t>Aluminiumsulfaat poeder</w:t>
            </w:r>
          </w:p>
        </w:tc>
        <w:tc>
          <w:tcPr>
            <w:tcW w:type="dxa" w:w="1134"/>
          </w:tcPr>
          <w:p>
            <w:r/>
            <w:r>
              <w:rPr>
                <w:rFonts w:ascii="Calibri" w:hAnsi="Calibri"/>
                <w:sz w:val="20"/>
              </w:rPr>
              <w:t>&lt;63 µm</w:t>
            </w:r>
          </w:p>
        </w:tc>
        <w:tc>
          <w:tcPr>
            <w:tcW w:type="dxa" w:w="1134"/>
          </w:tcPr>
          <w:p>
            <w:r/>
            <w:r>
              <w:rPr>
                <w:rFonts w:ascii="Calibri" w:hAnsi="Calibri"/>
                <w:sz w:val="20"/>
              </w:rPr>
              <w:t>TBD‡</w:t>
            </w:r>
          </w:p>
        </w:tc>
        <w:tc>
          <w:tcPr>
            <w:tcW w:type="dxa" w:w="1134"/>
          </w:tcPr>
          <w:p>
            <w:r/>
            <w:r>
              <w:rPr>
                <w:rFonts w:ascii="Calibri" w:hAnsi="Calibri"/>
                <w:sz w:val="20"/>
              </w:rPr>
              <w:t>TBD‡</w:t>
            </w:r>
          </w:p>
        </w:tc>
        <w:tc>
          <w:tcPr>
            <w:tcW w:type="dxa" w:w="1134"/>
          </w:tcPr>
          <w:p>
            <w:r/>
            <w:r>
              <w:rPr>
                <w:rFonts w:ascii="Calibri" w:hAnsi="Calibri"/>
                <w:sz w:val="20"/>
              </w:rPr>
              <w:t>&gt;100§</w:t>
            </w:r>
          </w:p>
        </w:tc>
        <w:tc>
          <w:tcPr>
            <w:tcW w:type="dxa" w:w="1134"/>
          </w:tcPr>
          <w:p>
            <w:r/>
            <w:r>
              <w:rPr>
                <w:rFonts w:ascii="Calibri" w:hAnsi="Calibri"/>
                <w:sz w:val="20"/>
              </w:rPr>
              <w:t>TBD‡</w:t>
            </w:r>
          </w:p>
        </w:tc>
        <w:tc>
          <w:tcPr>
            <w:tcW w:type="dxa" w:w="1134"/>
          </w:tcPr>
          <w:p>
            <w:r/>
            <w:r>
              <w:rPr>
                <w:rFonts w:ascii="Calibri" w:hAnsi="Calibri"/>
                <w:sz w:val="20"/>
              </w:rPr>
              <w:t>TBD‡</w:t>
            </w:r>
          </w:p>
        </w:tc>
        <w:tc>
          <w:tcPr>
            <w:tcW w:type="dxa" w:w="1134"/>
          </w:tcPr>
          <w:p>
            <w:r/>
            <w:r>
              <w:rPr>
                <w:rFonts w:ascii="Calibri" w:hAnsi="Calibri"/>
                <w:sz w:val="20"/>
              </w:rPr>
              <w:t>TBD‡</w:t>
            </w:r>
          </w:p>
        </w:tc>
      </w:tr>
    </w:tbl>
    <w:p/>
    <w:p>
      <w:r>
        <w:t>Toelichting op tabel:</w:t>
      </w:r>
    </w:p>
    <w:p>
      <w:pPr>
        <w:pStyle w:val="ListBullet"/>
      </w:pPr>
      <w:r>
        <w:t>* V₂O₅ is een metaaloxide met beperkte brandbaarheid. Literatuurwaarden suggereren St-1 karakteristieken (Kst &lt; 200 bar·m/s). Exacte waarden te bepalen via stofexplosietest conform EN 14034-1 [3].</w:t>
      </w:r>
    </w:p>
    <w:p>
      <w:pPr>
        <w:pStyle w:val="ListBullet"/>
      </w:pPr>
      <w:r>
        <w:t>† V₂O₅ heeft een smeltpunt van 690°C en ontledingstemperatuur &gt;1750°C. MIT-wolk en MIT-laag verwacht hoog (&gt;500°C).</w:t>
      </w:r>
    </w:p>
    <w:p>
      <w:pPr>
        <w:pStyle w:val="ListBullet"/>
      </w:pPr>
      <w:r>
        <w:t>‡ TBD — Te bepalen via stofexplosietest (Kühner-apparaat, 20-l of 1-m³ vat) conform EN 14034-reeks.</w:t>
      </w:r>
    </w:p>
    <w:p>
      <w:pPr>
        <w:pStyle w:val="ListBullet"/>
      </w:pPr>
      <w:r>
        <w:t>§ Staalaslakken en aluminiumsulfaat worden beschouwd als marginaal explosief. MIE verwacht &gt;100 mJ (niet-gevoelig voor elektrostatische ontlading).</w:t>
      </w:r>
    </w:p>
    <w:p>
      <w:pPr>
        <w:pStyle w:val="ListBullet"/>
      </w:pPr>
      <w:r>
        <w:t>¶ CaO (calciumoxide) is een niet-brandbaar metaaloxide. Geen stofexplosierisico. Wel stofhinder (irriterend).</w:t>
      </w:r>
    </w:p>
    <w:p/>
    <w:p>
      <w:r>
        <w:rPr>
          <w:b/>
        </w:rPr>
        <w:t xml:space="preserve">Aanbeveling: </w:t>
      </w:r>
      <w:r>
        <w:t>Voor V₂O₅ poeder (eindproduct na calcinatie) dient een stofexplosietest uitgevoerd te worden conform EN 14034-1 (Kst/Pmax) en EN 13821 (MIE) om de parameters te verifiëren [3][4]. Dit is een verplichte actie in het implementatieplan (zie §11).</w:t>
      </w:r>
    </w:p>
    <w:p>
      <w:r>
        <w:br w:type="page"/>
      </w:r>
    </w:p>
    <w:p>
      <w:pPr>
        <w:pStyle w:val="Heading1"/>
      </w:pPr>
      <w:r>
        <w:rPr>
          <w:color w:val="003366"/>
        </w:rPr>
        <w:t>7. Procesonderdelen — Stofbronnen Analyse</w:t>
      </w:r>
    </w:p>
    <w:p>
      <w:r>
        <w:t>Per processtap wordt de potentie voor stofvorming geanalyseerd, gebaseerd op het Meta-Dossier [7]. De nadruk ligt op de stappen waar droge, fijne deeltjes worden verwerkt.</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1814"/>
            <w:shd w:fill="003366"/>
          </w:tcPr>
          <w:p>
            <w:pPr>
              <w:jc w:val="left"/>
            </w:pPr>
            <w:r/>
            <w:r>
              <w:rPr>
                <w:rFonts w:ascii="Calibri" w:hAnsi="Calibri"/>
                <w:b/>
                <w:color w:val="FFFFFF"/>
                <w:sz w:val="20"/>
              </w:rPr>
              <w:t>Stap</w:t>
            </w:r>
          </w:p>
        </w:tc>
        <w:tc>
          <w:tcPr>
            <w:tcW w:type="dxa" w:w="1814"/>
            <w:shd w:fill="003366"/>
          </w:tcPr>
          <w:p>
            <w:pPr>
              <w:jc w:val="left"/>
            </w:pPr>
            <w:r/>
            <w:r>
              <w:rPr>
                <w:rFonts w:ascii="Calibri" w:hAnsi="Calibri"/>
                <w:b/>
                <w:color w:val="FFFFFF"/>
                <w:sz w:val="20"/>
              </w:rPr>
              <w:t>Procesonderdeel</w:t>
            </w:r>
          </w:p>
        </w:tc>
        <w:tc>
          <w:tcPr>
            <w:tcW w:type="dxa" w:w="1814"/>
            <w:shd w:fill="003366"/>
          </w:tcPr>
          <w:p>
            <w:pPr>
              <w:jc w:val="left"/>
            </w:pPr>
            <w:r/>
            <w:r>
              <w:rPr>
                <w:rFonts w:ascii="Calibri" w:hAnsi="Calibri"/>
                <w:b/>
                <w:color w:val="FFFFFF"/>
                <w:sz w:val="20"/>
              </w:rPr>
              <w:t>Stofvorming?</w:t>
            </w:r>
          </w:p>
        </w:tc>
        <w:tc>
          <w:tcPr>
            <w:tcW w:type="dxa" w:w="1814"/>
            <w:shd w:fill="003366"/>
          </w:tcPr>
          <w:p>
            <w:pPr>
              <w:jc w:val="left"/>
            </w:pPr>
            <w:r/>
            <w:r>
              <w:rPr>
                <w:rFonts w:ascii="Calibri" w:hAnsi="Calibri"/>
                <w:b/>
                <w:color w:val="FFFFFF"/>
                <w:sz w:val="20"/>
              </w:rPr>
              <w:t>Beschrijving</w:t>
            </w:r>
          </w:p>
        </w:tc>
        <w:tc>
          <w:tcPr>
            <w:tcW w:type="dxa" w:w="1814"/>
            <w:shd w:fill="003366"/>
          </w:tcPr>
          <w:p>
            <w:pPr>
              <w:jc w:val="left"/>
            </w:pPr>
            <w:r/>
            <w:r>
              <w:rPr>
                <w:rFonts w:ascii="Calibri" w:hAnsi="Calibri"/>
                <w:b/>
                <w:color w:val="FFFFFF"/>
                <w:sz w:val="20"/>
              </w:rPr>
              <w:t>Risiconiveau</w:t>
            </w:r>
          </w:p>
        </w:tc>
      </w:tr>
      <w:tr>
        <w:tc>
          <w:tcPr>
            <w:tcW w:type="dxa" w:w="1814"/>
          </w:tcPr>
          <w:p>
            <w:r/>
            <w:r>
              <w:rPr>
                <w:rFonts w:ascii="Calibri" w:hAnsi="Calibri"/>
                <w:b/>
                <w:sz w:val="20"/>
              </w:rPr>
              <w:t>1</w:t>
            </w:r>
          </w:p>
        </w:tc>
        <w:tc>
          <w:tcPr>
            <w:tcW w:type="dxa" w:w="1814"/>
          </w:tcPr>
          <w:p>
            <w:r/>
            <w:r>
              <w:rPr>
                <w:rFonts w:ascii="Calibri" w:hAnsi="Calibri"/>
                <w:sz w:val="20"/>
              </w:rPr>
              <w:t>Ontvangst slakken</w:t>
            </w:r>
          </w:p>
        </w:tc>
        <w:tc>
          <w:tcPr>
            <w:tcW w:type="dxa" w:w="1814"/>
          </w:tcPr>
          <w:p>
            <w:r/>
            <w:r>
              <w:rPr>
                <w:rFonts w:ascii="Calibri" w:hAnsi="Calibri"/>
                <w:sz w:val="20"/>
              </w:rPr>
              <w:t>Ja — beperkt</w:t>
            </w:r>
          </w:p>
        </w:tc>
        <w:tc>
          <w:tcPr>
            <w:tcW w:type="dxa" w:w="1814"/>
          </w:tcPr>
          <w:p>
            <w:r/>
            <w:r>
              <w:rPr>
                <w:rFonts w:ascii="Calibri" w:hAnsi="Calibri"/>
                <w:sz w:val="20"/>
              </w:rPr>
              <w:t>Stofvorming bij lossen van big bags en transport over banden/laderegeling. Fijne fractie slakken kan opwaaien.</w:t>
            </w:r>
          </w:p>
        </w:tc>
        <w:tc>
          <w:tcPr>
            <w:tcW w:type="dxa" w:w="1814"/>
            <w:shd w:fill="D1FAE0"/>
          </w:tcPr>
          <w:p>
            <w:r/>
            <w:r>
              <w:rPr>
                <w:rFonts w:ascii="Calibri" w:hAnsi="Calibri"/>
                <w:sz w:val="20"/>
              </w:rPr>
              <w:t>Laag</w:t>
            </w:r>
          </w:p>
        </w:tc>
      </w:tr>
      <w:tr>
        <w:tc>
          <w:tcPr>
            <w:tcW w:type="dxa" w:w="1814"/>
          </w:tcPr>
          <w:p>
            <w:r/>
            <w:r>
              <w:rPr>
                <w:rFonts w:ascii="Calibri" w:hAnsi="Calibri"/>
                <w:b/>
                <w:sz w:val="20"/>
              </w:rPr>
              <w:t>2</w:t>
            </w:r>
          </w:p>
        </w:tc>
        <w:tc>
          <w:tcPr>
            <w:tcW w:type="dxa" w:w="1814"/>
          </w:tcPr>
          <w:p>
            <w:r/>
            <w:r>
              <w:rPr>
                <w:rFonts w:ascii="Calibri" w:hAnsi="Calibri"/>
                <w:sz w:val="20"/>
              </w:rPr>
              <w:t>Roosten</w:t>
            </w:r>
          </w:p>
        </w:tc>
        <w:tc>
          <w:tcPr>
            <w:tcW w:type="dxa" w:w="1814"/>
          </w:tcPr>
          <w:p>
            <w:r/>
            <w:r>
              <w:rPr>
                <w:rFonts w:ascii="Calibri" w:hAnsi="Calibri"/>
                <w:sz w:val="20"/>
              </w:rPr>
              <w:t>Ja — beperkt</w:t>
            </w:r>
          </w:p>
        </w:tc>
        <w:tc>
          <w:tcPr>
            <w:tcW w:type="dxa" w:w="1814"/>
          </w:tcPr>
          <w:p>
            <w:r/>
            <w:r>
              <w:rPr>
                <w:rFonts w:ascii="Calibri" w:hAnsi="Calibri"/>
                <w:sz w:val="20"/>
              </w:rPr>
              <w:t>Overgang nat→droog product. Beperkte stofvorming in oven; afl vochtig bij infeed.</w:t>
            </w:r>
          </w:p>
        </w:tc>
        <w:tc>
          <w:tcPr>
            <w:tcW w:type="dxa" w:w="1814"/>
            <w:shd w:fill="D1FAE0"/>
          </w:tcPr>
          <w:p>
            <w:r/>
            <w:r>
              <w:rPr>
                <w:rFonts w:ascii="Calibri" w:hAnsi="Calibri"/>
                <w:sz w:val="20"/>
              </w:rPr>
              <w:t>Laag</w:t>
            </w:r>
          </w:p>
        </w:tc>
      </w:tr>
      <w:tr>
        <w:tc>
          <w:tcPr>
            <w:tcW w:type="dxa" w:w="1814"/>
          </w:tcPr>
          <w:p>
            <w:r/>
            <w:r>
              <w:rPr>
                <w:rFonts w:ascii="Calibri" w:hAnsi="Calibri"/>
                <w:b/>
                <w:sz w:val="20"/>
              </w:rPr>
              <w:t>3</w:t>
            </w:r>
          </w:p>
        </w:tc>
        <w:tc>
          <w:tcPr>
            <w:tcW w:type="dxa" w:w="1814"/>
          </w:tcPr>
          <w:p>
            <w:r/>
            <w:r>
              <w:rPr>
                <w:rFonts w:ascii="Calibri" w:hAnsi="Calibri"/>
                <w:sz w:val="20"/>
              </w:rPr>
              <w:t>Uitloging</w:t>
            </w:r>
          </w:p>
        </w:tc>
        <w:tc>
          <w:tcPr>
            <w:tcW w:type="dxa" w:w="1814"/>
          </w:tcPr>
          <w:p>
            <w:r/>
            <w:r>
              <w:rPr>
                <w:rFonts w:ascii="Calibri" w:hAnsi="Calibri"/>
                <w:sz w:val="20"/>
              </w:rPr>
              <w:t>Nee</w:t>
            </w:r>
          </w:p>
        </w:tc>
        <w:tc>
          <w:tcPr>
            <w:tcW w:type="dxa" w:w="1814"/>
          </w:tcPr>
          <w:p>
            <w:r/>
            <w:r>
              <w:rPr>
                <w:rFonts w:ascii="Calibri" w:hAnsi="Calibri"/>
                <w:sz w:val="20"/>
              </w:rPr>
              <w:t>Nat proces — volledig in vloeistoffase. Geen stofexplosierisico.</w:t>
            </w:r>
          </w:p>
        </w:tc>
        <w:tc>
          <w:tcPr>
            <w:tcW w:type="dxa" w:w="1814"/>
          </w:tcPr>
          <w:p>
            <w:r/>
            <w:r>
              <w:rPr>
                <w:rFonts w:ascii="Calibri" w:hAnsi="Calibri"/>
                <w:sz w:val="20"/>
              </w:rPr>
              <w:t>Geen</w:t>
            </w:r>
          </w:p>
        </w:tc>
      </w:tr>
      <w:tr>
        <w:tc>
          <w:tcPr>
            <w:tcW w:type="dxa" w:w="1814"/>
          </w:tcPr>
          <w:p>
            <w:r/>
            <w:r>
              <w:rPr>
                <w:rFonts w:ascii="Calibri" w:hAnsi="Calibri"/>
                <w:b/>
                <w:sz w:val="20"/>
              </w:rPr>
              <w:t>4</w:t>
            </w:r>
          </w:p>
        </w:tc>
        <w:tc>
          <w:tcPr>
            <w:tcW w:type="dxa" w:w="1814"/>
          </w:tcPr>
          <w:p>
            <w:r/>
            <w:r>
              <w:rPr>
                <w:rFonts w:ascii="Calibri" w:hAnsi="Calibri"/>
                <w:sz w:val="20"/>
              </w:rPr>
              <w:t>Filtratie</w:t>
            </w:r>
          </w:p>
        </w:tc>
        <w:tc>
          <w:tcPr>
            <w:tcW w:type="dxa" w:w="1814"/>
          </w:tcPr>
          <w:p>
            <w:r/>
            <w:r>
              <w:rPr>
                <w:rFonts w:ascii="Calibri" w:hAnsi="Calibri"/>
                <w:sz w:val="20"/>
              </w:rPr>
              <w:t>Ja — miniem</w:t>
            </w:r>
          </w:p>
        </w:tc>
        <w:tc>
          <w:tcPr>
            <w:tcW w:type="dxa" w:w="1814"/>
          </w:tcPr>
          <w:p>
            <w:r/>
            <w:r>
              <w:rPr>
                <w:rFonts w:ascii="Calibri" w:hAnsi="Calibri"/>
                <w:sz w:val="20"/>
              </w:rPr>
              <w:t>Nat filterkoek bevat nog vocht. Minimale stofvorming bij handling.</w:t>
            </w:r>
          </w:p>
        </w:tc>
        <w:tc>
          <w:tcPr>
            <w:tcW w:type="dxa" w:w="1814"/>
            <w:shd w:fill="D1FAE0"/>
          </w:tcPr>
          <w:p>
            <w:r/>
            <w:r>
              <w:rPr>
                <w:rFonts w:ascii="Calibri" w:hAnsi="Calibri"/>
                <w:sz w:val="20"/>
              </w:rPr>
              <w:t>Zeer laag</w:t>
            </w:r>
          </w:p>
        </w:tc>
      </w:tr>
      <w:tr>
        <w:tc>
          <w:tcPr>
            <w:tcW w:type="dxa" w:w="1814"/>
          </w:tcPr>
          <w:p>
            <w:r/>
            <w:r>
              <w:rPr>
                <w:rFonts w:ascii="Calibri" w:hAnsi="Calibri"/>
                <w:b/>
                <w:sz w:val="20"/>
              </w:rPr>
              <w:t>5</w:t>
            </w:r>
          </w:p>
        </w:tc>
        <w:tc>
          <w:tcPr>
            <w:tcW w:type="dxa" w:w="1814"/>
          </w:tcPr>
          <w:p>
            <w:r/>
            <w:r>
              <w:rPr>
                <w:rFonts w:ascii="Calibri" w:hAnsi="Calibri"/>
                <w:sz w:val="20"/>
              </w:rPr>
              <w:t>Zuivering</w:t>
            </w:r>
          </w:p>
        </w:tc>
        <w:tc>
          <w:tcPr>
            <w:tcW w:type="dxa" w:w="1814"/>
          </w:tcPr>
          <w:p>
            <w:r/>
            <w:r>
              <w:rPr>
                <w:rFonts w:ascii="Calibri" w:hAnsi="Calibri"/>
                <w:sz w:val="20"/>
              </w:rPr>
              <w:t>Nee</w:t>
            </w:r>
          </w:p>
        </w:tc>
        <w:tc>
          <w:tcPr>
            <w:tcW w:type="dxa" w:w="1814"/>
          </w:tcPr>
          <w:p>
            <w:r/>
            <w:r>
              <w:rPr>
                <w:rFonts w:ascii="Calibri" w:hAnsi="Calibri"/>
                <w:sz w:val="20"/>
              </w:rPr>
              <w:t>Vloeistoffase (solvent extractie, ion exchange). Geen stof.</w:t>
            </w:r>
          </w:p>
        </w:tc>
        <w:tc>
          <w:tcPr>
            <w:tcW w:type="dxa" w:w="1814"/>
          </w:tcPr>
          <w:p>
            <w:r/>
            <w:r>
              <w:rPr>
                <w:rFonts w:ascii="Calibri" w:hAnsi="Calibri"/>
                <w:sz w:val="20"/>
              </w:rPr>
              <w:t>Geen</w:t>
            </w:r>
          </w:p>
        </w:tc>
      </w:tr>
      <w:tr>
        <w:tc>
          <w:tcPr>
            <w:tcW w:type="dxa" w:w="1814"/>
          </w:tcPr>
          <w:p>
            <w:r/>
            <w:r>
              <w:rPr>
                <w:rFonts w:ascii="Calibri" w:hAnsi="Calibri"/>
                <w:b/>
                <w:sz w:val="20"/>
              </w:rPr>
              <w:t>6</w:t>
            </w:r>
          </w:p>
        </w:tc>
        <w:tc>
          <w:tcPr>
            <w:tcW w:type="dxa" w:w="1814"/>
          </w:tcPr>
          <w:p>
            <w:r/>
            <w:r>
              <w:rPr>
                <w:rFonts w:ascii="Calibri" w:hAnsi="Calibri"/>
                <w:sz w:val="20"/>
              </w:rPr>
              <w:t>Kristallisatie</w:t>
            </w:r>
          </w:p>
        </w:tc>
        <w:tc>
          <w:tcPr>
            <w:tcW w:type="dxa" w:w="1814"/>
          </w:tcPr>
          <w:p>
            <w:r/>
            <w:r>
              <w:rPr>
                <w:rFonts w:ascii="Calibri" w:hAnsi="Calibri"/>
                <w:sz w:val="20"/>
              </w:rPr>
              <w:t>Ja — miniem</w:t>
            </w:r>
          </w:p>
        </w:tc>
        <w:tc>
          <w:tcPr>
            <w:tcW w:type="dxa" w:w="1814"/>
          </w:tcPr>
          <w:p>
            <w:r/>
            <w:r>
              <w:rPr>
                <w:rFonts w:ascii="Calibri" w:hAnsi="Calibri"/>
                <w:sz w:val="20"/>
              </w:rPr>
              <w:t>Nat kristal; beperkte stofvorming alleen bij overgang naar droging.</w:t>
            </w:r>
          </w:p>
        </w:tc>
        <w:tc>
          <w:tcPr>
            <w:tcW w:type="dxa" w:w="1814"/>
            <w:shd w:fill="D1FAE0"/>
          </w:tcPr>
          <w:p>
            <w:r/>
            <w:r>
              <w:rPr>
                <w:rFonts w:ascii="Calibri" w:hAnsi="Calibri"/>
                <w:sz w:val="20"/>
              </w:rPr>
              <w:t>Zeer laag</w:t>
            </w:r>
          </w:p>
        </w:tc>
      </w:tr>
      <w:tr>
        <w:tc>
          <w:tcPr>
            <w:tcW w:type="dxa" w:w="1814"/>
          </w:tcPr>
          <w:p>
            <w:r/>
            <w:r>
              <w:rPr>
                <w:rFonts w:ascii="Calibri" w:hAnsi="Calibri"/>
                <w:b/>
                <w:sz w:val="20"/>
              </w:rPr>
              <w:t>7</w:t>
            </w:r>
          </w:p>
        </w:tc>
        <w:tc>
          <w:tcPr>
            <w:tcW w:type="dxa" w:w="1814"/>
          </w:tcPr>
          <w:p>
            <w:r/>
            <w:r>
              <w:rPr>
                <w:rFonts w:ascii="Calibri" w:hAnsi="Calibri"/>
                <w:sz w:val="20"/>
              </w:rPr>
              <w:t>Drogen / Calcinatie</w:t>
            </w:r>
          </w:p>
        </w:tc>
        <w:tc>
          <w:tcPr>
            <w:tcW w:type="dxa" w:w="1814"/>
          </w:tcPr>
          <w:p>
            <w:r/>
            <w:r>
              <w:rPr>
                <w:rFonts w:ascii="Calibri" w:hAnsi="Calibri"/>
                <w:sz w:val="20"/>
              </w:rPr>
              <w:t>Ja — KRITIEK</w:t>
            </w:r>
          </w:p>
        </w:tc>
        <w:tc>
          <w:tcPr>
            <w:tcW w:type="dxa" w:w="1814"/>
          </w:tcPr>
          <w:p>
            <w:r/>
            <w:r>
              <w:rPr>
                <w:rFonts w:ascii="Calibri" w:hAnsi="Calibri"/>
                <w:sz w:val="20"/>
              </w:rPr>
              <w:t>V₂O₅ poeder wordt gevormd. Continu stofvorming in droog- en calcinatieoven. Hoogste stofexplosierisico van het proces.</w:t>
            </w:r>
          </w:p>
        </w:tc>
        <w:tc>
          <w:tcPr>
            <w:tcW w:type="dxa" w:w="1814"/>
            <w:shd w:fill="FECACA"/>
          </w:tcPr>
          <w:p>
            <w:r/>
            <w:r>
              <w:rPr>
                <w:rFonts w:ascii="Calibri" w:hAnsi="Calibri"/>
                <w:sz w:val="20"/>
              </w:rPr>
              <w:t>Hoog</w:t>
            </w:r>
          </w:p>
        </w:tc>
      </w:tr>
      <w:tr>
        <w:tc>
          <w:tcPr>
            <w:tcW w:type="dxa" w:w="1814"/>
          </w:tcPr>
          <w:p>
            <w:r/>
            <w:r>
              <w:rPr>
                <w:rFonts w:ascii="Calibri" w:hAnsi="Calibri"/>
                <w:b/>
                <w:sz w:val="20"/>
              </w:rPr>
              <w:t>8</w:t>
            </w:r>
          </w:p>
        </w:tc>
        <w:tc>
          <w:tcPr>
            <w:tcW w:type="dxa" w:w="1814"/>
          </w:tcPr>
          <w:p>
            <w:r/>
            <w:r>
              <w:rPr>
                <w:rFonts w:ascii="Calibri" w:hAnsi="Calibri"/>
                <w:sz w:val="20"/>
              </w:rPr>
              <w:t>Verpakking</w:t>
            </w:r>
          </w:p>
        </w:tc>
        <w:tc>
          <w:tcPr>
            <w:tcW w:type="dxa" w:w="1814"/>
          </w:tcPr>
          <w:p>
            <w:r/>
            <w:r>
              <w:rPr>
                <w:rFonts w:ascii="Calibri" w:hAnsi="Calibri"/>
                <w:sz w:val="20"/>
              </w:rPr>
              <w:t>Ja — KRITIEK</w:t>
            </w:r>
          </w:p>
        </w:tc>
        <w:tc>
          <w:tcPr>
            <w:tcW w:type="dxa" w:w="1814"/>
          </w:tcPr>
          <w:p>
            <w:r/>
            <w:r>
              <w:rPr>
                <w:rFonts w:ascii="Calibri" w:hAnsi="Calibri"/>
                <w:sz w:val="20"/>
              </w:rPr>
              <w:t>Big-bag vulling, afvoer en sealing genereren stof. Fijn V₂O₅ poeder bij vulpunt en transit.</w:t>
            </w:r>
          </w:p>
        </w:tc>
        <w:tc>
          <w:tcPr>
            <w:tcW w:type="dxa" w:w="1814"/>
            <w:shd w:fill="FECACA"/>
          </w:tcPr>
          <w:p>
            <w:r/>
            <w:r>
              <w:rPr>
                <w:rFonts w:ascii="Calibri" w:hAnsi="Calibri"/>
                <w:sz w:val="20"/>
              </w:rPr>
              <w:t>Hoog</w:t>
            </w:r>
          </w:p>
        </w:tc>
      </w:tr>
    </w:tbl>
    <w:p>
      <w:r>
        <w:br w:type="page"/>
      </w:r>
    </w:p>
    <w:p>
      <w:pPr>
        <w:pStyle w:val="Heading1"/>
      </w:pPr>
      <w:r>
        <w:rPr>
          <w:color w:val="003366"/>
        </w:rPr>
        <w:t>8. ATEX Zone-Indeling</w:t>
      </w:r>
    </w:p>
    <w:p>
      <w:r>
        <w:t>De ATEX-zone-indeling is conform NEN-EN 60079-10-2 [3] uitgevoerd. De zone-indeling is gebaseerd op de frequentie en duur van brandbare stofwolkvorming per locatie. De classificatie onderscheidt zones 20, 21 en 22 voor stofwolken [1][3].</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512"/>
        <w:gridCol w:w="1512"/>
        <w:gridCol w:w="1512"/>
        <w:gridCol w:w="1512"/>
        <w:gridCol w:w="1512"/>
        <w:gridCol w:w="1512"/>
      </w:tblGrid>
      <w:tr>
        <w:tc>
          <w:tcPr>
            <w:tcW w:type="dxa" w:w="1512"/>
            <w:shd w:fill="003366"/>
          </w:tcPr>
          <w:p>
            <w:pPr>
              <w:jc w:val="left"/>
            </w:pPr>
            <w:r/>
            <w:r>
              <w:rPr>
                <w:rFonts w:ascii="Calibri" w:hAnsi="Calibri"/>
                <w:b/>
                <w:color w:val="FFFFFF"/>
                <w:sz w:val="20"/>
              </w:rPr>
              <w:t>Locatie</w:t>
            </w:r>
          </w:p>
        </w:tc>
        <w:tc>
          <w:tcPr>
            <w:tcW w:type="dxa" w:w="1512"/>
            <w:shd w:fill="003366"/>
          </w:tcPr>
          <w:p>
            <w:pPr>
              <w:jc w:val="left"/>
            </w:pPr>
            <w:r/>
            <w:r>
              <w:rPr>
                <w:rFonts w:ascii="Calibri" w:hAnsi="Calibri"/>
                <w:b/>
                <w:color w:val="FFFFFF"/>
                <w:sz w:val="20"/>
              </w:rPr>
              <w:t>Zone type</w:t>
            </w:r>
          </w:p>
        </w:tc>
        <w:tc>
          <w:tcPr>
            <w:tcW w:type="dxa" w:w="1512"/>
            <w:shd w:fill="003366"/>
          </w:tcPr>
          <w:p>
            <w:pPr>
              <w:jc w:val="left"/>
            </w:pPr>
            <w:r/>
            <w:r>
              <w:rPr>
                <w:rFonts w:ascii="Calibri" w:hAnsi="Calibri"/>
                <w:b/>
                <w:color w:val="FFFFFF"/>
                <w:sz w:val="20"/>
              </w:rPr>
              <w:t>Zone</w:t>
            </w:r>
          </w:p>
        </w:tc>
        <w:tc>
          <w:tcPr>
            <w:tcW w:type="dxa" w:w="1512"/>
            <w:shd w:fill="003366"/>
          </w:tcPr>
          <w:p>
            <w:pPr>
              <w:jc w:val="left"/>
            </w:pPr>
            <w:r/>
            <w:r>
              <w:rPr>
                <w:rFonts w:ascii="Calibri" w:hAnsi="Calibri"/>
                <w:b/>
                <w:color w:val="FFFFFF"/>
                <w:sz w:val="20"/>
              </w:rPr>
              <w:t>Frequentie stofwolk</w:t>
            </w:r>
          </w:p>
        </w:tc>
        <w:tc>
          <w:tcPr>
            <w:tcW w:type="dxa" w:w="1512"/>
            <w:shd w:fill="003366"/>
          </w:tcPr>
          <w:p>
            <w:pPr>
              <w:jc w:val="left"/>
            </w:pPr>
            <w:r/>
            <w:r>
              <w:rPr>
                <w:rFonts w:ascii="Calibri" w:hAnsi="Calibri"/>
                <w:b/>
                <w:color w:val="FFFFFF"/>
                <w:sz w:val="20"/>
              </w:rPr>
              <w:t>Duur</w:t>
            </w:r>
          </w:p>
        </w:tc>
        <w:tc>
          <w:tcPr>
            <w:tcW w:type="dxa" w:w="1512"/>
            <w:shd w:fill="003366"/>
          </w:tcPr>
          <w:p>
            <w:pPr>
              <w:jc w:val="left"/>
            </w:pPr>
            <w:r/>
            <w:r>
              <w:rPr>
                <w:rFonts w:ascii="Calibri" w:hAnsi="Calibri"/>
                <w:b/>
                <w:color w:val="FFFFFF"/>
                <w:sz w:val="20"/>
              </w:rPr>
              <w:t>Reden</w:t>
            </w:r>
          </w:p>
        </w:tc>
      </w:tr>
      <w:tr>
        <w:tc>
          <w:tcPr>
            <w:tcW w:type="dxa" w:w="1512"/>
          </w:tcPr>
          <w:p>
            <w:r/>
            <w:r>
              <w:rPr>
                <w:rFonts w:ascii="Calibri" w:hAnsi="Calibri"/>
                <w:b/>
                <w:sz w:val="20"/>
              </w:rPr>
              <w:t>Droogoven (intern)</w:t>
            </w:r>
          </w:p>
        </w:tc>
        <w:tc>
          <w:tcPr>
            <w:tcW w:type="dxa" w:w="1512"/>
          </w:tcPr>
          <w:p>
            <w:r/>
            <w:r>
              <w:rPr>
                <w:rFonts w:ascii="Calibri" w:hAnsi="Calibri"/>
                <w:sz w:val="20"/>
              </w:rPr>
              <w:t>Stof</w:t>
            </w:r>
          </w:p>
        </w:tc>
        <w:tc>
          <w:tcPr>
            <w:tcW w:type="dxa" w:w="1512"/>
            <w:shd w:fill="FECACA"/>
          </w:tcPr>
          <w:p>
            <w:r/>
            <w:r>
              <w:rPr>
                <w:rFonts w:ascii="Calibri" w:hAnsi="Calibri"/>
                <w:sz w:val="20"/>
              </w:rPr>
              <w:t>20</w:t>
            </w:r>
          </w:p>
        </w:tc>
        <w:tc>
          <w:tcPr>
            <w:tcW w:type="dxa" w:w="1512"/>
          </w:tcPr>
          <w:p>
            <w:r/>
            <w:r>
              <w:rPr>
                <w:rFonts w:ascii="Calibri" w:hAnsi="Calibri"/>
                <w:sz w:val="20"/>
              </w:rPr>
              <w:t>Continu / langdurig</w:t>
            </w:r>
          </w:p>
        </w:tc>
        <w:tc>
          <w:tcPr>
            <w:tcW w:type="dxa" w:w="1512"/>
          </w:tcPr>
          <w:p>
            <w:r/>
            <w:r>
              <w:rPr>
                <w:rFonts w:ascii="Calibri" w:hAnsi="Calibri"/>
                <w:sz w:val="20"/>
              </w:rPr>
              <w:t>&gt;1000 uur/jaar</w:t>
            </w:r>
          </w:p>
        </w:tc>
        <w:tc>
          <w:tcPr>
            <w:tcW w:type="dxa" w:w="1512"/>
          </w:tcPr>
          <w:p>
            <w:r/>
            <w:r>
              <w:rPr>
                <w:rFonts w:ascii="Calibri" w:hAnsi="Calibri"/>
                <w:sz w:val="20"/>
              </w:rPr>
              <w:t>V₂O₅ droogproces — continue stofwolk in ovenruimte</w:t>
            </w:r>
          </w:p>
        </w:tc>
      </w:tr>
      <w:tr>
        <w:tc>
          <w:tcPr>
            <w:tcW w:type="dxa" w:w="1512"/>
          </w:tcPr>
          <w:p>
            <w:r/>
            <w:r>
              <w:rPr>
                <w:rFonts w:ascii="Calibri" w:hAnsi="Calibri"/>
                <w:b/>
                <w:sz w:val="20"/>
              </w:rPr>
              <w:t>Calcinatie-oven (intern)</w:t>
            </w:r>
          </w:p>
        </w:tc>
        <w:tc>
          <w:tcPr>
            <w:tcW w:type="dxa" w:w="1512"/>
          </w:tcPr>
          <w:p>
            <w:r/>
            <w:r>
              <w:rPr>
                <w:rFonts w:ascii="Calibri" w:hAnsi="Calibri"/>
                <w:sz w:val="20"/>
              </w:rPr>
              <w:t>Stof</w:t>
            </w:r>
          </w:p>
        </w:tc>
        <w:tc>
          <w:tcPr>
            <w:tcW w:type="dxa" w:w="1512"/>
            <w:shd w:fill="FECACA"/>
          </w:tcPr>
          <w:p>
            <w:r/>
            <w:r>
              <w:rPr>
                <w:rFonts w:ascii="Calibri" w:hAnsi="Calibri"/>
                <w:sz w:val="20"/>
              </w:rPr>
              <w:t>20</w:t>
            </w:r>
          </w:p>
        </w:tc>
        <w:tc>
          <w:tcPr>
            <w:tcW w:type="dxa" w:w="1512"/>
          </w:tcPr>
          <w:p>
            <w:r/>
            <w:r>
              <w:rPr>
                <w:rFonts w:ascii="Calibri" w:hAnsi="Calibri"/>
                <w:sz w:val="20"/>
              </w:rPr>
              <w:t>Continu</w:t>
            </w:r>
          </w:p>
        </w:tc>
        <w:tc>
          <w:tcPr>
            <w:tcW w:type="dxa" w:w="1512"/>
          </w:tcPr>
          <w:p>
            <w:r/>
            <w:r>
              <w:rPr>
                <w:rFonts w:ascii="Calibri" w:hAnsi="Calibri"/>
                <w:sz w:val="20"/>
              </w:rPr>
              <w:t>&gt;1000 uur/jaar</w:t>
            </w:r>
          </w:p>
        </w:tc>
        <w:tc>
          <w:tcPr>
            <w:tcW w:type="dxa" w:w="1512"/>
          </w:tcPr>
          <w:p>
            <w:r/>
            <w:r>
              <w:rPr>
                <w:rFonts w:ascii="Calibri" w:hAnsi="Calibri"/>
                <w:sz w:val="20"/>
              </w:rPr>
              <w:t>V₂O₅ poeder wordt geproduceerd — continue stofwolk</w:t>
            </w:r>
          </w:p>
        </w:tc>
      </w:tr>
      <w:tr>
        <w:tc>
          <w:tcPr>
            <w:tcW w:type="dxa" w:w="1512"/>
          </w:tcPr>
          <w:p>
            <w:r/>
            <w:r>
              <w:rPr>
                <w:rFonts w:ascii="Calibri" w:hAnsi="Calibri"/>
                <w:b/>
                <w:sz w:val="20"/>
              </w:rPr>
              <w:t>Drogen/Calcinatie omgeving (≤3 m)</w:t>
            </w:r>
          </w:p>
        </w:tc>
        <w:tc>
          <w:tcPr>
            <w:tcW w:type="dxa" w:w="1512"/>
          </w:tcPr>
          <w:p>
            <w:r/>
            <w:r>
              <w:rPr>
                <w:rFonts w:ascii="Calibri" w:hAnsi="Calibri"/>
                <w:sz w:val="20"/>
              </w:rPr>
              <w:t>Stof</w:t>
            </w:r>
          </w:p>
        </w:tc>
        <w:tc>
          <w:tcPr>
            <w:tcW w:type="dxa" w:w="1512"/>
            <w:shd w:fill="D1FAE0"/>
          </w:tcPr>
          <w:p>
            <w:r/>
            <w:r>
              <w:rPr>
                <w:rFonts w:ascii="Calibri" w:hAnsi="Calibri"/>
                <w:sz w:val="20"/>
              </w:rPr>
              <w:t>22</w:t>
            </w:r>
          </w:p>
        </w:tc>
        <w:tc>
          <w:tcPr>
            <w:tcW w:type="dxa" w:w="1512"/>
          </w:tcPr>
          <w:p>
            <w:r/>
            <w:r>
              <w:rPr>
                <w:rFonts w:ascii="Calibri" w:hAnsi="Calibri"/>
                <w:sz w:val="20"/>
              </w:rPr>
              <w:t>Zelden / kort</w:t>
            </w:r>
          </w:p>
        </w:tc>
        <w:tc>
          <w:tcPr>
            <w:tcW w:type="dxa" w:w="1512"/>
          </w:tcPr>
          <w:p>
            <w:r/>
            <w:r>
              <w:rPr>
                <w:rFonts w:ascii="Calibri" w:hAnsi="Calibri"/>
                <w:sz w:val="20"/>
              </w:rPr>
              <w:t>&lt;10 uur/jaar</w:t>
            </w:r>
          </w:p>
        </w:tc>
        <w:tc>
          <w:tcPr>
            <w:tcW w:type="dxa" w:w="1512"/>
          </w:tcPr>
          <w:p>
            <w:r/>
            <w:r>
              <w:rPr>
                <w:rFonts w:ascii="Calibri" w:hAnsi="Calibri"/>
                <w:sz w:val="20"/>
              </w:rPr>
              <w:t>Fugitief stof bij lekkage of onderhoudswerkzaamheden</w:t>
            </w:r>
          </w:p>
        </w:tc>
      </w:tr>
      <w:tr>
        <w:tc>
          <w:tcPr>
            <w:tcW w:type="dxa" w:w="1512"/>
          </w:tcPr>
          <w:p>
            <w:r/>
            <w:r>
              <w:rPr>
                <w:rFonts w:ascii="Calibri" w:hAnsi="Calibri"/>
                <w:b/>
                <w:sz w:val="20"/>
              </w:rPr>
              <w:t>Verpakkingslijn (big-bag vulpunt)</w:t>
            </w:r>
          </w:p>
        </w:tc>
        <w:tc>
          <w:tcPr>
            <w:tcW w:type="dxa" w:w="1512"/>
          </w:tcPr>
          <w:p>
            <w:r/>
            <w:r>
              <w:rPr>
                <w:rFonts w:ascii="Calibri" w:hAnsi="Calibri"/>
                <w:sz w:val="20"/>
              </w:rPr>
              <w:t>Stof</w:t>
            </w:r>
          </w:p>
        </w:tc>
        <w:tc>
          <w:tcPr>
            <w:tcW w:type="dxa" w:w="1512"/>
            <w:shd w:fill="FEF3C7"/>
          </w:tcPr>
          <w:p>
            <w:r/>
            <w:r>
              <w:rPr>
                <w:rFonts w:ascii="Calibri" w:hAnsi="Calibri"/>
                <w:sz w:val="20"/>
              </w:rPr>
              <w:t>21</w:t>
            </w:r>
          </w:p>
        </w:tc>
        <w:tc>
          <w:tcPr>
            <w:tcW w:type="dxa" w:w="1512"/>
          </w:tcPr>
          <w:p>
            <w:r/>
            <w:r>
              <w:rPr>
                <w:rFonts w:ascii="Calibri" w:hAnsi="Calibri"/>
                <w:sz w:val="20"/>
              </w:rPr>
              <w:t>Regelmatig</w:t>
            </w:r>
          </w:p>
        </w:tc>
        <w:tc>
          <w:tcPr>
            <w:tcW w:type="dxa" w:w="1512"/>
          </w:tcPr>
          <w:p>
            <w:r/>
            <w:r>
              <w:rPr>
                <w:rFonts w:ascii="Calibri" w:hAnsi="Calibri"/>
                <w:sz w:val="20"/>
              </w:rPr>
              <w:t>10–1000 uur/jaar</w:t>
            </w:r>
          </w:p>
        </w:tc>
        <w:tc>
          <w:tcPr>
            <w:tcW w:type="dxa" w:w="1512"/>
          </w:tcPr>
          <w:p>
            <w:r/>
            <w:r>
              <w:rPr>
                <w:rFonts w:ascii="Calibri" w:hAnsi="Calibri"/>
                <w:sz w:val="20"/>
              </w:rPr>
              <w:t>Stofwolk bij big-bag vullen, sealen en afvoer</w:t>
            </w:r>
          </w:p>
        </w:tc>
      </w:tr>
      <w:tr>
        <w:tc>
          <w:tcPr>
            <w:tcW w:type="dxa" w:w="1512"/>
          </w:tcPr>
          <w:p>
            <w:r/>
            <w:r>
              <w:rPr>
                <w:rFonts w:ascii="Calibri" w:hAnsi="Calibri"/>
                <w:b/>
                <w:sz w:val="20"/>
              </w:rPr>
              <w:t>Verpakkingslijn omgeving (≤3 m)</w:t>
            </w:r>
          </w:p>
        </w:tc>
        <w:tc>
          <w:tcPr>
            <w:tcW w:type="dxa" w:w="1512"/>
          </w:tcPr>
          <w:p>
            <w:r/>
            <w:r>
              <w:rPr>
                <w:rFonts w:ascii="Calibri" w:hAnsi="Calibri"/>
                <w:sz w:val="20"/>
              </w:rPr>
              <w:t>Stof</w:t>
            </w:r>
          </w:p>
        </w:tc>
        <w:tc>
          <w:tcPr>
            <w:tcW w:type="dxa" w:w="1512"/>
            <w:shd w:fill="D1FAE0"/>
          </w:tcPr>
          <w:p>
            <w:r/>
            <w:r>
              <w:rPr>
                <w:rFonts w:ascii="Calibri" w:hAnsi="Calibri"/>
                <w:sz w:val="20"/>
              </w:rPr>
              <w:t>22</w:t>
            </w:r>
          </w:p>
        </w:tc>
        <w:tc>
          <w:tcPr>
            <w:tcW w:type="dxa" w:w="1512"/>
          </w:tcPr>
          <w:p>
            <w:r/>
            <w:r>
              <w:rPr>
                <w:rFonts w:ascii="Calibri" w:hAnsi="Calibri"/>
                <w:sz w:val="20"/>
              </w:rPr>
              <w:t>Zelden / kort</w:t>
            </w:r>
          </w:p>
        </w:tc>
        <w:tc>
          <w:tcPr>
            <w:tcW w:type="dxa" w:w="1512"/>
          </w:tcPr>
          <w:p>
            <w:r/>
            <w:r>
              <w:rPr>
                <w:rFonts w:ascii="Calibri" w:hAnsi="Calibri"/>
                <w:sz w:val="20"/>
              </w:rPr>
              <w:t>&lt;10 uur/jaar</w:t>
            </w:r>
          </w:p>
        </w:tc>
        <w:tc>
          <w:tcPr>
            <w:tcW w:type="dxa" w:w="1512"/>
          </w:tcPr>
          <w:p>
            <w:r/>
            <w:r>
              <w:rPr>
                <w:rFonts w:ascii="Calibri" w:hAnsi="Calibri"/>
                <w:sz w:val="20"/>
              </w:rPr>
              <w:t>Fugitief stof verspreiding vanuit vulpunt</w:t>
            </w:r>
          </w:p>
        </w:tc>
      </w:tr>
      <w:tr>
        <w:tc>
          <w:tcPr>
            <w:tcW w:type="dxa" w:w="1512"/>
          </w:tcPr>
          <w:p>
            <w:r/>
            <w:r>
              <w:rPr>
                <w:rFonts w:ascii="Calibri" w:hAnsi="Calibri"/>
                <w:b/>
                <w:sz w:val="20"/>
              </w:rPr>
              <w:t>Slakverwerking (lossen/transport)</w:t>
            </w:r>
          </w:p>
        </w:tc>
        <w:tc>
          <w:tcPr>
            <w:tcW w:type="dxa" w:w="1512"/>
          </w:tcPr>
          <w:p>
            <w:r/>
            <w:r>
              <w:rPr>
                <w:rFonts w:ascii="Calibri" w:hAnsi="Calibri"/>
                <w:sz w:val="20"/>
              </w:rPr>
              <w:t>Stof</w:t>
            </w:r>
          </w:p>
        </w:tc>
        <w:tc>
          <w:tcPr>
            <w:tcW w:type="dxa" w:w="1512"/>
            <w:shd w:fill="D1FAE0"/>
          </w:tcPr>
          <w:p>
            <w:r/>
            <w:r>
              <w:rPr>
                <w:rFonts w:ascii="Calibri" w:hAnsi="Calibri"/>
                <w:sz w:val="20"/>
              </w:rPr>
              <w:t>22</w:t>
            </w:r>
          </w:p>
        </w:tc>
        <w:tc>
          <w:tcPr>
            <w:tcW w:type="dxa" w:w="1512"/>
          </w:tcPr>
          <w:p>
            <w:r/>
            <w:r>
              <w:rPr>
                <w:rFonts w:ascii="Calibri" w:hAnsi="Calibri"/>
                <w:sz w:val="20"/>
              </w:rPr>
              <w:t>Zelden / kort</w:t>
            </w:r>
          </w:p>
        </w:tc>
        <w:tc>
          <w:tcPr>
            <w:tcW w:type="dxa" w:w="1512"/>
          </w:tcPr>
          <w:p>
            <w:r/>
            <w:r>
              <w:rPr>
                <w:rFonts w:ascii="Calibri" w:hAnsi="Calibri"/>
                <w:sz w:val="20"/>
              </w:rPr>
              <w:t>&lt;10 uur/jaar</w:t>
            </w:r>
          </w:p>
        </w:tc>
        <w:tc>
          <w:tcPr>
            <w:tcW w:type="dxa" w:w="1512"/>
          </w:tcPr>
          <w:p>
            <w:r/>
            <w:r>
              <w:rPr>
                <w:rFonts w:ascii="Calibri" w:hAnsi="Calibri"/>
                <w:sz w:val="20"/>
              </w:rPr>
              <w:t>Stof bij lossen big bags, transport banden</w:t>
            </w:r>
          </w:p>
        </w:tc>
      </w:tr>
    </w:tbl>
    <w:p/>
    <w:p>
      <w:r>
        <w:t>Zone-kaart: De zone-indeling dient te worden verwerkt in een tekening (GA-layout) met zones aangegeven conform NEN-EN 60079-10-2 bijlage B [3]. Dit is opgenomen in het implementatieplan (§11).</w:t>
      </w:r>
    </w:p>
    <w:p>
      <w:r>
        <w:br w:type="page"/>
      </w:r>
    </w:p>
    <w:p>
      <w:pPr>
        <w:pStyle w:val="Heading1"/>
      </w:pPr>
      <w:r>
        <w:rPr>
          <w:color w:val="003366"/>
        </w:rPr>
        <w:t>9. Ontstekingsbronnenanalyse</w:t>
      </w:r>
    </w:p>
    <w:p>
      <w:r>
        <w:t>Conform NEN-EN 1127-1 [4] zijn alle potentieële ontstekingsbronnen geïdentificeerd per zone. De analyse volgt de standaard ontstekingsbronnenlijst uit EN 1127-1 bijlage A.</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1814"/>
            <w:shd w:fill="003366"/>
          </w:tcPr>
          <w:p>
            <w:pPr>
              <w:jc w:val="left"/>
            </w:pPr>
            <w:r/>
            <w:r>
              <w:rPr>
                <w:rFonts w:ascii="Calibri" w:hAnsi="Calibri"/>
                <w:b/>
                <w:color w:val="FFFFFF"/>
                <w:sz w:val="20"/>
              </w:rPr>
              <w:t>Ontstekingsbron</w:t>
            </w:r>
          </w:p>
        </w:tc>
        <w:tc>
          <w:tcPr>
            <w:tcW w:type="dxa" w:w="1814"/>
            <w:shd w:fill="003366"/>
          </w:tcPr>
          <w:p>
            <w:pPr>
              <w:jc w:val="left"/>
            </w:pPr>
            <w:r/>
            <w:r>
              <w:rPr>
                <w:rFonts w:ascii="Calibri" w:hAnsi="Calibri"/>
                <w:b/>
                <w:color w:val="FFFFFF"/>
                <w:sz w:val="20"/>
              </w:rPr>
              <w:t>Aanwezig?</w:t>
            </w:r>
          </w:p>
        </w:tc>
        <w:tc>
          <w:tcPr>
            <w:tcW w:type="dxa" w:w="1814"/>
            <w:shd w:fill="003366"/>
          </w:tcPr>
          <w:p>
            <w:pPr>
              <w:jc w:val="left"/>
            </w:pPr>
            <w:r/>
            <w:r>
              <w:rPr>
                <w:rFonts w:ascii="Calibri" w:hAnsi="Calibri"/>
                <w:b/>
                <w:color w:val="FFFFFF"/>
                <w:sz w:val="20"/>
              </w:rPr>
              <w:t>Zone(s)</w:t>
            </w:r>
          </w:p>
        </w:tc>
        <w:tc>
          <w:tcPr>
            <w:tcW w:type="dxa" w:w="1814"/>
            <w:shd w:fill="003366"/>
          </w:tcPr>
          <w:p>
            <w:pPr>
              <w:jc w:val="left"/>
            </w:pPr>
            <w:r/>
            <w:r>
              <w:rPr>
                <w:rFonts w:ascii="Calibri" w:hAnsi="Calibri"/>
                <w:b/>
                <w:color w:val="FFFFFF"/>
                <w:sz w:val="20"/>
              </w:rPr>
              <w:t>Bronbeschrijving</w:t>
            </w:r>
          </w:p>
        </w:tc>
        <w:tc>
          <w:tcPr>
            <w:tcW w:type="dxa" w:w="1814"/>
            <w:shd w:fill="003366"/>
          </w:tcPr>
          <w:p>
            <w:pPr>
              <w:jc w:val="left"/>
            </w:pPr>
            <w:r/>
            <w:r>
              <w:rPr>
                <w:rFonts w:ascii="Calibri" w:hAnsi="Calibri"/>
                <w:b/>
                <w:color w:val="FFFFFF"/>
                <w:sz w:val="20"/>
              </w:rPr>
              <w:t>Maatregelen</w:t>
            </w:r>
          </w:p>
        </w:tc>
      </w:tr>
      <w:tr>
        <w:tc>
          <w:tcPr>
            <w:tcW w:type="dxa" w:w="1814"/>
          </w:tcPr>
          <w:p>
            <w:r/>
            <w:r>
              <w:rPr>
                <w:rFonts w:ascii="Calibri" w:hAnsi="Calibri"/>
                <w:b/>
                <w:sz w:val="20"/>
              </w:rPr>
              <w:t>Mechanische vonken</w:t>
            </w:r>
          </w:p>
        </w:tc>
        <w:tc>
          <w:tcPr>
            <w:tcW w:type="dxa" w:w="1814"/>
          </w:tcPr>
          <w:p>
            <w:r/>
            <w:r>
              <w:rPr>
                <w:rFonts w:ascii="Calibri" w:hAnsi="Calibri"/>
                <w:sz w:val="20"/>
              </w:rPr>
              <w:t>Ja</w:t>
            </w:r>
          </w:p>
        </w:tc>
        <w:tc>
          <w:tcPr>
            <w:tcW w:type="dxa" w:w="1814"/>
          </w:tcPr>
          <w:p>
            <w:r/>
            <w:r>
              <w:rPr>
                <w:rFonts w:ascii="Calibri" w:hAnsi="Calibri"/>
                <w:sz w:val="20"/>
              </w:rPr>
              <w:t>21, 22</w:t>
            </w:r>
          </w:p>
        </w:tc>
        <w:tc>
          <w:tcPr>
            <w:tcW w:type="dxa" w:w="1814"/>
          </w:tcPr>
          <w:p>
            <w:r/>
            <w:r>
              <w:rPr>
                <w:rFonts w:ascii="Calibri" w:hAnsi="Calibri"/>
                <w:sz w:val="20"/>
              </w:rPr>
              <w:t>Onderhoudswerkzaamheden (slijpen, boren) in zone 21/22</w:t>
            </w:r>
          </w:p>
        </w:tc>
        <w:tc>
          <w:tcPr>
            <w:tcW w:type="dxa" w:w="1814"/>
          </w:tcPr>
          <w:p>
            <w:r/>
            <w:r>
              <w:rPr>
                <w:rFonts w:ascii="Calibri" w:hAnsi="Calibri"/>
                <w:sz w:val="20"/>
              </w:rPr>
              <w:t>Werkvergunningssysteem; vonkvrije gereedschappen in zone 21/22</w:t>
            </w:r>
          </w:p>
        </w:tc>
      </w:tr>
      <w:tr>
        <w:tc>
          <w:tcPr>
            <w:tcW w:type="dxa" w:w="1814"/>
          </w:tcPr>
          <w:p>
            <w:r/>
            <w:r>
              <w:rPr>
                <w:rFonts w:ascii="Calibri" w:hAnsi="Calibri"/>
                <w:b/>
                <w:sz w:val="20"/>
              </w:rPr>
              <w:t>Statische elektriciteit</w:t>
            </w:r>
          </w:p>
        </w:tc>
        <w:tc>
          <w:tcPr>
            <w:tcW w:type="dxa" w:w="1814"/>
          </w:tcPr>
          <w:p>
            <w:r/>
            <w:r>
              <w:rPr>
                <w:rFonts w:ascii="Calibri" w:hAnsi="Calibri"/>
                <w:sz w:val="20"/>
              </w:rPr>
              <w:t>Ja</w:t>
            </w:r>
          </w:p>
        </w:tc>
        <w:tc>
          <w:tcPr>
            <w:tcW w:type="dxa" w:w="1814"/>
          </w:tcPr>
          <w:p>
            <w:r/>
            <w:r>
              <w:rPr>
                <w:rFonts w:ascii="Calibri" w:hAnsi="Calibri"/>
                <w:sz w:val="20"/>
              </w:rPr>
              <w:t>20, 21, 22</w:t>
            </w:r>
          </w:p>
        </w:tc>
        <w:tc>
          <w:tcPr>
            <w:tcW w:type="dxa" w:w="1814"/>
          </w:tcPr>
          <w:p>
            <w:r/>
            <w:r>
              <w:rPr>
                <w:rFonts w:ascii="Calibri" w:hAnsi="Calibri"/>
                <w:sz w:val="20"/>
              </w:rPr>
              <w:t>Big-bag vulling (tripping), transport systemen, leidingen</w:t>
            </w:r>
          </w:p>
        </w:tc>
        <w:tc>
          <w:tcPr>
            <w:tcW w:type="dxa" w:w="1814"/>
          </w:tcPr>
          <w:p>
            <w:r/>
            <w:r>
              <w:rPr>
                <w:rFonts w:ascii="Calibri" w:hAnsi="Calibri"/>
                <w:sz w:val="20"/>
              </w:rPr>
              <w:t>Aarding en bonding alle apparatuur; geleidende big bags; aardingscontrole voor vuloperatie</w:t>
            </w:r>
          </w:p>
        </w:tc>
      </w:tr>
      <w:tr>
        <w:tc>
          <w:tcPr>
            <w:tcW w:type="dxa" w:w="1814"/>
          </w:tcPr>
          <w:p>
            <w:r/>
            <w:r>
              <w:rPr>
                <w:rFonts w:ascii="Calibri" w:hAnsi="Calibri"/>
                <w:b/>
                <w:sz w:val="20"/>
              </w:rPr>
              <w:t>Elektrische apparatuur</w:t>
            </w:r>
          </w:p>
        </w:tc>
        <w:tc>
          <w:tcPr>
            <w:tcW w:type="dxa" w:w="1814"/>
          </w:tcPr>
          <w:p>
            <w:r/>
            <w:r>
              <w:rPr>
                <w:rFonts w:ascii="Calibri" w:hAnsi="Calibri"/>
                <w:sz w:val="20"/>
              </w:rPr>
              <w:t>Ja</w:t>
            </w:r>
          </w:p>
        </w:tc>
        <w:tc>
          <w:tcPr>
            <w:tcW w:type="dxa" w:w="1814"/>
          </w:tcPr>
          <w:p>
            <w:r/>
            <w:r>
              <w:rPr>
                <w:rFonts w:ascii="Calibri" w:hAnsi="Calibri"/>
                <w:sz w:val="20"/>
              </w:rPr>
              <w:t>20, 21, 22</w:t>
            </w:r>
          </w:p>
        </w:tc>
        <w:tc>
          <w:tcPr>
            <w:tcW w:type="dxa" w:w="1814"/>
          </w:tcPr>
          <w:p>
            <w:r/>
            <w:r>
              <w:rPr>
                <w:rFonts w:ascii="Calibri" w:hAnsi="Calibri"/>
                <w:sz w:val="20"/>
              </w:rPr>
              <w:t>Niet-ATEX gecertificeerde apparatuur in explosiegevaarlijke zones</w:t>
            </w:r>
          </w:p>
        </w:tc>
        <w:tc>
          <w:tcPr>
            <w:tcW w:type="dxa" w:w="1814"/>
          </w:tcPr>
          <w:p>
            <w:r/>
            <w:r>
              <w:rPr>
                <w:rFonts w:ascii="Calibri" w:hAnsi="Calibri"/>
                <w:sz w:val="20"/>
              </w:rPr>
              <w:t>Alleen ATEX-gecertificeerde apparatuur (cat. II 1D/2D/3D) per zone</w:t>
            </w:r>
          </w:p>
        </w:tc>
      </w:tr>
      <w:tr>
        <w:tc>
          <w:tcPr>
            <w:tcW w:type="dxa" w:w="1814"/>
          </w:tcPr>
          <w:p>
            <w:r/>
            <w:r>
              <w:rPr>
                <w:rFonts w:ascii="Calibri" w:hAnsi="Calibri"/>
                <w:b/>
                <w:sz w:val="20"/>
              </w:rPr>
              <w:t>Hete oppervlakken</w:t>
            </w:r>
          </w:p>
        </w:tc>
        <w:tc>
          <w:tcPr>
            <w:tcW w:type="dxa" w:w="1814"/>
          </w:tcPr>
          <w:p>
            <w:r/>
            <w:r>
              <w:rPr>
                <w:rFonts w:ascii="Calibri" w:hAnsi="Calibri"/>
                <w:sz w:val="20"/>
              </w:rPr>
              <w:t>Ja</w:t>
            </w:r>
          </w:p>
        </w:tc>
        <w:tc>
          <w:tcPr>
            <w:tcW w:type="dxa" w:w="1814"/>
          </w:tcPr>
          <w:p>
            <w:r/>
            <w:r>
              <w:rPr>
                <w:rFonts w:ascii="Calibri" w:hAnsi="Calibri"/>
                <w:sz w:val="20"/>
              </w:rPr>
              <w:t>20, 21</w:t>
            </w:r>
          </w:p>
        </w:tc>
        <w:tc>
          <w:tcPr>
            <w:tcW w:type="dxa" w:w="1814"/>
          </w:tcPr>
          <w:p>
            <w:r/>
            <w:r>
              <w:rPr>
                <w:rFonts w:ascii="Calibri" w:hAnsi="Calibri"/>
                <w:sz w:val="20"/>
              </w:rPr>
              <w:t>Droog- en calcinatie-oven wanden, leidingen</w:t>
            </w:r>
          </w:p>
        </w:tc>
        <w:tc>
          <w:tcPr>
            <w:tcW w:type="dxa" w:w="1814"/>
          </w:tcPr>
          <w:p>
            <w:r/>
            <w:r>
              <w:rPr>
                <w:rFonts w:ascii="Calibri" w:hAnsi="Calibri"/>
                <w:sz w:val="20"/>
              </w:rPr>
              <w:t>Isolatie hete oppervlakken; temperatuur monitoring; MIT-stof &gt; maximale oppervlaktetemperatuur</w:t>
            </w:r>
          </w:p>
        </w:tc>
      </w:tr>
      <w:tr>
        <w:tc>
          <w:tcPr>
            <w:tcW w:type="dxa" w:w="1814"/>
          </w:tcPr>
          <w:p>
            <w:r/>
            <w:r>
              <w:rPr>
                <w:rFonts w:ascii="Calibri" w:hAnsi="Calibri"/>
                <w:b/>
                <w:sz w:val="20"/>
              </w:rPr>
              <w:t>Zelfontbranding stoflaag</w:t>
            </w:r>
          </w:p>
        </w:tc>
        <w:tc>
          <w:tcPr>
            <w:tcW w:type="dxa" w:w="1814"/>
          </w:tcPr>
          <w:p>
            <w:r/>
            <w:r>
              <w:rPr>
                <w:rFonts w:ascii="Calibri" w:hAnsi="Calibri"/>
                <w:sz w:val="20"/>
              </w:rPr>
              <w:t>Ja</w:t>
            </w:r>
          </w:p>
        </w:tc>
        <w:tc>
          <w:tcPr>
            <w:tcW w:type="dxa" w:w="1814"/>
          </w:tcPr>
          <w:p>
            <w:r/>
            <w:r>
              <w:rPr>
                <w:rFonts w:ascii="Calibri" w:hAnsi="Calibri"/>
                <w:sz w:val="20"/>
              </w:rPr>
              <w:t>20, 21</w:t>
            </w:r>
          </w:p>
        </w:tc>
        <w:tc>
          <w:tcPr>
            <w:tcW w:type="dxa" w:w="1814"/>
          </w:tcPr>
          <w:p>
            <w:r/>
            <w:r>
              <w:rPr>
                <w:rFonts w:ascii="Calibri" w:hAnsi="Calibri"/>
                <w:sz w:val="20"/>
              </w:rPr>
              <w:t>Stoflaagophoping op oppervlakken in en rond ovens</w:t>
            </w:r>
          </w:p>
        </w:tc>
        <w:tc>
          <w:tcPr>
            <w:tcW w:type="dxa" w:w="1814"/>
          </w:tcPr>
          <w:p>
            <w:r/>
            <w:r>
              <w:rPr>
                <w:rFonts w:ascii="Calibri" w:hAnsi="Calibri"/>
                <w:sz w:val="20"/>
              </w:rPr>
              <w:t>Regelmatig reinigingsprogramma; stoflaagdikte &lt;5 mm; temperatuur monitoring</w:t>
            </w:r>
          </w:p>
        </w:tc>
      </w:tr>
      <w:tr>
        <w:tc>
          <w:tcPr>
            <w:tcW w:type="dxa" w:w="1814"/>
          </w:tcPr>
          <w:p>
            <w:r/>
            <w:r>
              <w:rPr>
                <w:rFonts w:ascii="Calibri" w:hAnsi="Calibri"/>
                <w:b/>
                <w:sz w:val="20"/>
              </w:rPr>
              <w:t>Lassen / snijden (heet werk)</w:t>
            </w:r>
          </w:p>
        </w:tc>
        <w:tc>
          <w:tcPr>
            <w:tcW w:type="dxa" w:w="1814"/>
          </w:tcPr>
          <w:p>
            <w:r/>
            <w:r>
              <w:rPr>
                <w:rFonts w:ascii="Calibri" w:hAnsi="Calibri"/>
                <w:sz w:val="20"/>
              </w:rPr>
              <w:t>Ja</w:t>
            </w:r>
          </w:p>
        </w:tc>
        <w:tc>
          <w:tcPr>
            <w:tcW w:type="dxa" w:w="1814"/>
          </w:tcPr>
          <w:p>
            <w:r/>
            <w:r>
              <w:rPr>
                <w:rFonts w:ascii="Calibri" w:hAnsi="Calibri"/>
                <w:sz w:val="20"/>
              </w:rPr>
              <w:t>22</w:t>
            </w:r>
          </w:p>
        </w:tc>
        <w:tc>
          <w:tcPr>
            <w:tcW w:type="dxa" w:w="1814"/>
          </w:tcPr>
          <w:p>
            <w:r/>
            <w:r>
              <w:rPr>
                <w:rFonts w:ascii="Calibri" w:hAnsi="Calibri"/>
                <w:sz w:val="20"/>
              </w:rPr>
              <w:t>Onderhoud buiten normale operatie</w:t>
            </w:r>
          </w:p>
        </w:tc>
        <w:tc>
          <w:tcPr>
            <w:tcW w:type="dxa" w:w="1814"/>
          </w:tcPr>
          <w:p>
            <w:r/>
            <w:r>
              <w:rPr>
                <w:rFonts w:ascii="Calibri" w:hAnsi="Calibri"/>
                <w:sz w:val="20"/>
              </w:rPr>
              <w:t>Werkvergunning (heet werk); stoff vrij maken; brandwacht; gasmeting</w:t>
            </w:r>
          </w:p>
        </w:tc>
      </w:tr>
      <w:tr>
        <w:tc>
          <w:tcPr>
            <w:tcW w:type="dxa" w:w="1814"/>
          </w:tcPr>
          <w:p>
            <w:r/>
            <w:r>
              <w:rPr>
                <w:rFonts w:ascii="Calibri" w:hAnsi="Calibri"/>
                <w:b/>
                <w:sz w:val="20"/>
              </w:rPr>
              <w:t>Elektromagnetische straling</w:t>
            </w:r>
          </w:p>
        </w:tc>
        <w:tc>
          <w:tcPr>
            <w:tcW w:type="dxa" w:w="1814"/>
          </w:tcPr>
          <w:p>
            <w:r/>
            <w:r>
              <w:rPr>
                <w:rFonts w:ascii="Calibri" w:hAnsi="Calibri"/>
                <w:sz w:val="20"/>
              </w:rPr>
              <w:t>Nee</w:t>
            </w:r>
          </w:p>
        </w:tc>
        <w:tc>
          <w:tcPr>
            <w:tcW w:type="dxa" w:w="1814"/>
          </w:tcPr>
          <w:p>
            <w:r/>
            <w:r>
              <w:rPr>
                <w:rFonts w:ascii="Calibri" w:hAnsi="Calibri"/>
                <w:sz w:val="20"/>
              </w:rPr>
              <w:t>—</w:t>
            </w:r>
          </w:p>
        </w:tc>
        <w:tc>
          <w:tcPr>
            <w:tcW w:type="dxa" w:w="1814"/>
          </w:tcPr>
          <w:p>
            <w:r/>
            <w:r>
              <w:rPr>
                <w:rFonts w:ascii="Calibri" w:hAnsi="Calibri"/>
                <w:sz w:val="20"/>
              </w:rPr>
              <w:t>Niet aanwezig in relevante zones</w:t>
            </w:r>
          </w:p>
        </w:tc>
        <w:tc>
          <w:tcPr>
            <w:tcW w:type="dxa" w:w="1814"/>
          </w:tcPr>
          <w:p>
            <w:r/>
            <w:r>
              <w:rPr>
                <w:rFonts w:ascii="Calibri" w:hAnsi="Calibri"/>
                <w:sz w:val="20"/>
              </w:rPr>
              <w:t>N.v.t.</w:t>
            </w:r>
          </w:p>
        </w:tc>
      </w:tr>
      <w:tr>
        <w:tc>
          <w:tcPr>
            <w:tcW w:type="dxa" w:w="1814"/>
          </w:tcPr>
          <w:p>
            <w:r/>
            <w:r>
              <w:rPr>
                <w:rFonts w:ascii="Calibri" w:hAnsi="Calibri"/>
                <w:b/>
                <w:sz w:val="20"/>
              </w:rPr>
              <w:t>Chemische reacties</w:t>
            </w:r>
          </w:p>
        </w:tc>
        <w:tc>
          <w:tcPr>
            <w:tcW w:type="dxa" w:w="1814"/>
          </w:tcPr>
          <w:p>
            <w:r/>
            <w:r>
              <w:rPr>
                <w:rFonts w:ascii="Calibri" w:hAnsi="Calibri"/>
                <w:sz w:val="20"/>
              </w:rPr>
              <w:t>Nee</w:t>
            </w:r>
          </w:p>
        </w:tc>
        <w:tc>
          <w:tcPr>
            <w:tcW w:type="dxa" w:w="1814"/>
          </w:tcPr>
          <w:p>
            <w:r/>
            <w:r>
              <w:rPr>
                <w:rFonts w:ascii="Calibri" w:hAnsi="Calibri"/>
                <w:sz w:val="20"/>
              </w:rPr>
              <w:t>—</w:t>
            </w:r>
          </w:p>
        </w:tc>
        <w:tc>
          <w:tcPr>
            <w:tcW w:type="dxa" w:w="1814"/>
          </w:tcPr>
          <w:p>
            <w:r/>
            <w:r>
              <w:rPr>
                <w:rFonts w:ascii="Calibri" w:hAnsi="Calibri"/>
                <w:sz w:val="20"/>
              </w:rPr>
              <w:t>V₂O₅ is thermisch stabiel onder normale condities</w:t>
            </w:r>
          </w:p>
        </w:tc>
        <w:tc>
          <w:tcPr>
            <w:tcW w:type="dxa" w:w="1814"/>
          </w:tcPr>
          <w:p>
            <w:r/>
            <w:r>
              <w:rPr>
                <w:rFonts w:ascii="Calibri" w:hAnsi="Calibri"/>
                <w:sz w:val="20"/>
              </w:rPr>
              <w:t>N.v.t.</w:t>
            </w:r>
          </w:p>
        </w:tc>
      </w:tr>
    </w:tbl>
    <w:p>
      <w:r>
        <w:br w:type="page"/>
      </w:r>
    </w:p>
    <w:p>
      <w:pPr>
        <w:pStyle w:val="Heading1"/>
      </w:pPr>
      <w:r>
        <w:rPr>
          <w:color w:val="003366"/>
        </w:rPr>
        <w:t>10. Explosiebeveiligingsmaatregelen</w:t>
      </w:r>
    </w:p>
    <w:p>
      <w:r>
        <w:t>De maatregelen zijn gecategoriseerd conform het preventie-bescherming-principe uit ATEX 137 [1] en NEN-EN 1127-1 [4]. Het Explosion Protection Document (EBD) combineert preventieve, constructieve, organisatorische en persoonlijke maatregelen.</w:t>
      </w:r>
    </w:p>
    <w:p>
      <w:pPr>
        <w:pStyle w:val="Heading2"/>
      </w:pPr>
      <w:r>
        <w:rPr>
          <w:color w:val="003366"/>
        </w:rPr>
        <w:t>10.1 Preventieve maatregelen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left"/>
            </w:pPr>
            <w:r/>
            <w:r>
              <w:rPr>
                <w:rFonts w:ascii="Calibri" w:hAnsi="Calibri"/>
                <w:b/>
                <w:color w:val="FFFFFF"/>
                <w:sz w:val="20"/>
              </w:rPr>
              <w:t>Maatregel</w:t>
            </w:r>
          </w:p>
        </w:tc>
        <w:tc>
          <w:tcPr>
            <w:tcW w:type="dxa" w:w="3024"/>
            <w:shd w:fill="003366"/>
          </w:tcPr>
          <w:p>
            <w:pPr>
              <w:jc w:val="left"/>
            </w:pPr>
            <w:r/>
            <w:r>
              <w:rPr>
                <w:rFonts w:ascii="Calibri" w:hAnsi="Calibri"/>
                <w:b/>
                <w:color w:val="FFFFFF"/>
                <w:sz w:val="20"/>
              </w:rPr>
              <w:t>Beschrijving</w:t>
            </w:r>
          </w:p>
        </w:tc>
        <w:tc>
          <w:tcPr>
            <w:tcW w:type="dxa" w:w="3024"/>
            <w:shd w:fill="003366"/>
          </w:tcPr>
          <w:p>
            <w:pPr>
              <w:jc w:val="left"/>
            </w:pPr>
            <w:r/>
            <w:r>
              <w:rPr>
                <w:rFonts w:ascii="Calibri" w:hAnsi="Calibri"/>
                <w:b/>
                <w:color w:val="FFFFFF"/>
                <w:sz w:val="20"/>
              </w:rPr>
              <w:t>Prioriteit</w:t>
            </w:r>
          </w:p>
        </w:tc>
      </w:tr>
      <w:tr>
        <w:tc>
          <w:tcPr>
            <w:tcW w:type="dxa" w:w="3024"/>
          </w:tcPr>
          <w:p>
            <w:r/>
            <w:r>
              <w:rPr>
                <w:rFonts w:ascii="Calibri" w:hAnsi="Calibri"/>
                <w:b/>
                <w:sz w:val="20"/>
              </w:rPr>
              <w:t>Stofafvang en afzuiging</w:t>
            </w:r>
          </w:p>
        </w:tc>
        <w:tc>
          <w:tcPr>
            <w:tcW w:type="dxa" w:w="3024"/>
          </w:tcPr>
          <w:p>
            <w:r/>
            <w:r>
              <w:rPr>
                <w:rFonts w:ascii="Calibri" w:hAnsi="Calibri"/>
                <w:sz w:val="20"/>
              </w:rPr>
              <w:t>Lokale afzuiging (LEV) op alle stofbronnen: vulpunt big bags, droogoven in/output, slak handling. Ontwerp conform EN 60079-10-2 [3].</w:t>
            </w:r>
          </w:p>
        </w:tc>
        <w:tc>
          <w:tcPr>
            <w:tcW w:type="dxa" w:w="3024"/>
          </w:tcPr>
          <w:p>
            <w:r/>
            <w:r>
              <w:rPr>
                <w:rFonts w:ascii="Calibri" w:hAnsi="Calibri"/>
                <w:sz w:val="20"/>
              </w:rPr>
              <w:t>Hoog</w:t>
            </w:r>
          </w:p>
        </w:tc>
      </w:tr>
      <w:tr>
        <w:tc>
          <w:tcPr>
            <w:tcW w:type="dxa" w:w="3024"/>
          </w:tcPr>
          <w:p>
            <w:r/>
            <w:r>
              <w:rPr>
                <w:rFonts w:ascii="Calibri" w:hAnsi="Calibri"/>
                <w:b/>
                <w:sz w:val="20"/>
              </w:rPr>
              <w:t>ATEX-apparatuur</w:t>
            </w:r>
          </w:p>
        </w:tc>
        <w:tc>
          <w:tcPr>
            <w:tcW w:type="dxa" w:w="3024"/>
          </w:tcPr>
          <w:p>
            <w:r/>
            <w:r>
              <w:rPr>
                <w:rFonts w:ascii="Calibri" w:hAnsi="Calibri"/>
                <w:sz w:val="20"/>
              </w:rPr>
              <w:t>Alle elektrische en mechanische apparatuur in zones 20/21/22 voorzien van ATEX-certificering passend bij zone-categorie (II 1D, 2D, 3D) [2].</w:t>
            </w:r>
          </w:p>
        </w:tc>
        <w:tc>
          <w:tcPr>
            <w:tcW w:type="dxa" w:w="3024"/>
          </w:tcPr>
          <w:p>
            <w:r/>
            <w:r>
              <w:rPr>
                <w:rFonts w:ascii="Calibri" w:hAnsi="Calibri"/>
                <w:sz w:val="20"/>
              </w:rPr>
              <w:t>Hoog</w:t>
            </w:r>
          </w:p>
        </w:tc>
      </w:tr>
      <w:tr>
        <w:tc>
          <w:tcPr>
            <w:tcW w:type="dxa" w:w="3024"/>
          </w:tcPr>
          <w:p>
            <w:r/>
            <w:r>
              <w:rPr>
                <w:rFonts w:ascii="Calibri" w:hAnsi="Calibri"/>
                <w:b/>
                <w:sz w:val="20"/>
              </w:rPr>
              <w:t>Aarding en bonding</w:t>
            </w:r>
          </w:p>
        </w:tc>
        <w:tc>
          <w:tcPr>
            <w:tcW w:type="dxa" w:w="3024"/>
          </w:tcPr>
          <w:p>
            <w:r/>
            <w:r>
              <w:rPr>
                <w:rFonts w:ascii="Calibri" w:hAnsi="Calibri"/>
                <w:sz w:val="20"/>
              </w:rPr>
              <w:t>Continu aardingssysteem voor alle apparatuur, leidingen en containers. Geleidende big bags (type C). Aardingscontrole vóór elke vuloperatie.</w:t>
            </w:r>
          </w:p>
        </w:tc>
        <w:tc>
          <w:tcPr>
            <w:tcW w:type="dxa" w:w="3024"/>
          </w:tcPr>
          <w:p>
            <w:r/>
            <w:r>
              <w:rPr>
                <w:rFonts w:ascii="Calibri" w:hAnsi="Calibri"/>
                <w:sz w:val="20"/>
              </w:rPr>
              <w:t>Hoog</w:t>
            </w:r>
          </w:p>
        </w:tc>
      </w:tr>
      <w:tr>
        <w:tc>
          <w:tcPr>
            <w:tcW w:type="dxa" w:w="3024"/>
          </w:tcPr>
          <w:p>
            <w:r/>
            <w:r>
              <w:rPr>
                <w:rFonts w:ascii="Calibri" w:hAnsi="Calibri"/>
                <w:b/>
                <w:sz w:val="20"/>
              </w:rPr>
              <w:t>Stofvrije afvoer</w:t>
            </w:r>
          </w:p>
        </w:tc>
        <w:tc>
          <w:tcPr>
            <w:tcW w:type="dxa" w:w="3024"/>
          </w:tcPr>
          <w:p>
            <w:r/>
            <w:r>
              <w:rPr>
                <w:rFonts w:ascii="Calibri" w:hAnsi="Calibri"/>
                <w:sz w:val="20"/>
              </w:rPr>
              <w:t>Gesloten transport systemen (pneumatisch, screw conveyors) voor V₂O₅ poeder tussen droogoven en verpakking.</w:t>
            </w:r>
          </w:p>
        </w:tc>
        <w:tc>
          <w:tcPr>
            <w:tcW w:type="dxa" w:w="3024"/>
          </w:tcPr>
          <w:p>
            <w:r/>
            <w:r>
              <w:rPr>
                <w:rFonts w:ascii="Calibri" w:hAnsi="Calibri"/>
                <w:sz w:val="20"/>
              </w:rPr>
              <w:t>Midden</w:t>
            </w:r>
          </w:p>
        </w:tc>
      </w:tr>
      <w:tr>
        <w:tc>
          <w:tcPr>
            <w:tcW w:type="dxa" w:w="3024"/>
          </w:tcPr>
          <w:p>
            <w:r/>
            <w:r>
              <w:rPr>
                <w:rFonts w:ascii="Calibri" w:hAnsi="Calibri"/>
                <w:b/>
                <w:sz w:val="20"/>
              </w:rPr>
              <w:t>Inertisatie (indien nodig)</w:t>
            </w:r>
          </w:p>
        </w:tc>
        <w:tc>
          <w:tcPr>
            <w:tcW w:type="dxa" w:w="3024"/>
          </w:tcPr>
          <w:p>
            <w:r/>
            <w:r>
              <w:rPr>
                <w:rFonts w:ascii="Calibri" w:hAnsi="Calibri"/>
                <w:sz w:val="20"/>
              </w:rPr>
              <w:t>Indien Kst-test V₂O₅ St-2 of hoger: inertisering (N₂) van droog- en calcinatieoven overwegen.</w:t>
            </w:r>
          </w:p>
        </w:tc>
        <w:tc>
          <w:tcPr>
            <w:tcW w:type="dxa" w:w="3024"/>
          </w:tcPr>
          <w:p>
            <w:r/>
            <w:r>
              <w:rPr>
                <w:rFonts w:ascii="Calibri" w:hAnsi="Calibri"/>
                <w:sz w:val="20"/>
              </w:rPr>
              <w:t>Laag (afhankelijk test)</w:t>
            </w:r>
          </w:p>
        </w:tc>
      </w:tr>
    </w:tbl>
    <w:p>
      <w:pPr>
        <w:pStyle w:val="Heading2"/>
      </w:pPr>
      <w:r>
        <w:rPr>
          <w:color w:val="003366"/>
        </w:rPr>
        <w:t>10.2 Constructieve maatregelen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left"/>
            </w:pPr>
            <w:r/>
            <w:r>
              <w:rPr>
                <w:rFonts w:ascii="Calibri" w:hAnsi="Calibri"/>
                <w:b/>
                <w:color w:val="FFFFFF"/>
                <w:sz w:val="20"/>
              </w:rPr>
              <w:t>Maatregel</w:t>
            </w:r>
          </w:p>
        </w:tc>
        <w:tc>
          <w:tcPr>
            <w:tcW w:type="dxa" w:w="3024"/>
            <w:shd w:fill="003366"/>
          </w:tcPr>
          <w:p>
            <w:pPr>
              <w:jc w:val="left"/>
            </w:pPr>
            <w:r/>
            <w:r>
              <w:rPr>
                <w:rFonts w:ascii="Calibri" w:hAnsi="Calibri"/>
                <w:b/>
                <w:color w:val="FFFFFF"/>
                <w:sz w:val="20"/>
              </w:rPr>
              <w:t>Beschrijving</w:t>
            </w:r>
          </w:p>
        </w:tc>
        <w:tc>
          <w:tcPr>
            <w:tcW w:type="dxa" w:w="3024"/>
            <w:shd w:fill="003366"/>
          </w:tcPr>
          <w:p>
            <w:pPr>
              <w:jc w:val="left"/>
            </w:pPr>
            <w:r/>
            <w:r>
              <w:rPr>
                <w:rFonts w:ascii="Calibri" w:hAnsi="Calibri"/>
                <w:b/>
                <w:color w:val="FFFFFF"/>
                <w:sz w:val="20"/>
              </w:rPr>
              <w:t>Prioriteit</w:t>
            </w:r>
          </w:p>
        </w:tc>
      </w:tr>
      <w:tr>
        <w:tc>
          <w:tcPr>
            <w:tcW w:type="dxa" w:w="3024"/>
          </w:tcPr>
          <w:p>
            <w:r/>
            <w:r>
              <w:rPr>
                <w:rFonts w:ascii="Calibri" w:hAnsi="Calibri"/>
                <w:b/>
                <w:sz w:val="20"/>
              </w:rPr>
              <w:t>Explosieontlastingskleppen</w:t>
            </w:r>
          </w:p>
        </w:tc>
        <w:tc>
          <w:tcPr>
            <w:tcW w:type="dxa" w:w="3024"/>
          </w:tcPr>
          <w:p>
            <w:r/>
            <w:r>
              <w:rPr>
                <w:rFonts w:ascii="Calibri" w:hAnsi="Calibri"/>
                <w:sz w:val="20"/>
              </w:rPr>
              <w:t>Ventielen conform NEN-EN 14491 [5] op droogoven en calcinatie-oven. Ontwerp gebaseerd op Kst-waarde en vatvolume.</w:t>
            </w:r>
          </w:p>
        </w:tc>
        <w:tc>
          <w:tcPr>
            <w:tcW w:type="dxa" w:w="3024"/>
          </w:tcPr>
          <w:p>
            <w:r/>
            <w:r>
              <w:rPr>
                <w:rFonts w:ascii="Calibri" w:hAnsi="Calibri"/>
                <w:sz w:val="20"/>
              </w:rPr>
              <w:t>Hoog</w:t>
            </w:r>
          </w:p>
        </w:tc>
      </w:tr>
      <w:tr>
        <w:tc>
          <w:tcPr>
            <w:tcW w:type="dxa" w:w="3024"/>
          </w:tcPr>
          <w:p>
            <w:r/>
            <w:r>
              <w:rPr>
                <w:rFonts w:ascii="Calibri" w:hAnsi="Calibri"/>
                <w:b/>
                <w:sz w:val="20"/>
              </w:rPr>
              <w:t>Explosiedrukbestendige constructie</w:t>
            </w:r>
          </w:p>
        </w:tc>
        <w:tc>
          <w:tcPr>
            <w:tcW w:type="dxa" w:w="3024"/>
          </w:tcPr>
          <w:p>
            <w:r/>
            <w:r>
              <w:rPr>
                <w:rFonts w:ascii="Calibri" w:hAnsi="Calibri"/>
                <w:sz w:val="20"/>
              </w:rPr>
              <w:t>Droog- en calcinatie-oven ontwerpen voor verwachte Pmax (minimaal 6 bar bij St-1 karakteristiek).</w:t>
            </w:r>
          </w:p>
        </w:tc>
        <w:tc>
          <w:tcPr>
            <w:tcW w:type="dxa" w:w="3024"/>
          </w:tcPr>
          <w:p>
            <w:r/>
            <w:r>
              <w:rPr>
                <w:rFonts w:ascii="Calibri" w:hAnsi="Calibri"/>
                <w:sz w:val="20"/>
              </w:rPr>
              <w:t>Midden</w:t>
            </w:r>
          </w:p>
        </w:tc>
      </w:tr>
      <w:tr>
        <w:tc>
          <w:tcPr>
            <w:tcW w:type="dxa" w:w="3024"/>
          </w:tcPr>
          <w:p>
            <w:r/>
            <w:r>
              <w:rPr>
                <w:rFonts w:ascii="Calibri" w:hAnsi="Calibri"/>
                <w:b/>
                <w:sz w:val="20"/>
              </w:rPr>
              <w:t>Explosie-isolatie</w:t>
            </w:r>
          </w:p>
        </w:tc>
        <w:tc>
          <w:tcPr>
            <w:tcW w:type="dxa" w:w="3024"/>
          </w:tcPr>
          <w:p>
            <w:r/>
            <w:r>
              <w:rPr>
                <w:rFonts w:ascii="Calibri" w:hAnsi="Calibri"/>
                <w:sz w:val="20"/>
              </w:rPr>
              <w:t>Isolatiekleppen of rotary valves tussen procesonderdelen om explosie-doorgang te voorkomen.</w:t>
            </w:r>
          </w:p>
        </w:tc>
        <w:tc>
          <w:tcPr>
            <w:tcW w:type="dxa" w:w="3024"/>
          </w:tcPr>
          <w:p>
            <w:r/>
            <w:r>
              <w:rPr>
                <w:rFonts w:ascii="Calibri" w:hAnsi="Calibri"/>
                <w:sz w:val="20"/>
              </w:rPr>
              <w:t>Hoog</w:t>
            </w:r>
          </w:p>
        </w:tc>
      </w:tr>
    </w:tbl>
    <w:p>
      <w:pPr>
        <w:pStyle w:val="Heading2"/>
      </w:pPr>
      <w:r>
        <w:rPr>
          <w:color w:val="003366"/>
        </w:rPr>
        <w:t>10.3 Organisatorische maatregelen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left"/>
            </w:pPr>
            <w:r/>
            <w:r>
              <w:rPr>
                <w:rFonts w:ascii="Calibri" w:hAnsi="Calibri"/>
                <w:b/>
                <w:color w:val="FFFFFF"/>
                <w:sz w:val="20"/>
              </w:rPr>
              <w:t>Maatregel</w:t>
            </w:r>
          </w:p>
        </w:tc>
        <w:tc>
          <w:tcPr>
            <w:tcW w:type="dxa" w:w="3024"/>
            <w:shd w:fill="003366"/>
          </w:tcPr>
          <w:p>
            <w:pPr>
              <w:jc w:val="left"/>
            </w:pPr>
            <w:r/>
            <w:r>
              <w:rPr>
                <w:rFonts w:ascii="Calibri" w:hAnsi="Calibri"/>
                <w:b/>
                <w:color w:val="FFFFFF"/>
                <w:sz w:val="20"/>
              </w:rPr>
              <w:t>Beschrijving</w:t>
            </w:r>
          </w:p>
        </w:tc>
        <w:tc>
          <w:tcPr>
            <w:tcW w:type="dxa" w:w="3024"/>
            <w:shd w:fill="003366"/>
          </w:tcPr>
          <w:p>
            <w:pPr>
              <w:jc w:val="left"/>
            </w:pPr>
            <w:r/>
            <w:r>
              <w:rPr>
                <w:rFonts w:ascii="Calibri" w:hAnsi="Calibri"/>
                <w:b/>
                <w:color w:val="FFFFFF"/>
                <w:sz w:val="20"/>
              </w:rPr>
              <w:t>Prioriteit</w:t>
            </w:r>
          </w:p>
        </w:tc>
      </w:tr>
      <w:tr>
        <w:tc>
          <w:tcPr>
            <w:tcW w:type="dxa" w:w="3024"/>
          </w:tcPr>
          <w:p>
            <w:r/>
            <w:r>
              <w:rPr>
                <w:rFonts w:ascii="Calibri" w:hAnsi="Calibri"/>
                <w:b/>
                <w:sz w:val="20"/>
              </w:rPr>
              <w:t>Reinigingsprogramma</w:t>
            </w:r>
          </w:p>
        </w:tc>
        <w:tc>
          <w:tcPr>
            <w:tcW w:type="dxa" w:w="3024"/>
          </w:tcPr>
          <w:p>
            <w:r/>
            <w:r>
              <w:rPr>
                <w:rFonts w:ascii="Calibri" w:hAnsi="Calibri"/>
                <w:sz w:val="20"/>
              </w:rPr>
              <w:t>Gestructureerd reinigingsschema: zones 20/21 dagelijks, zone 22 wekelijks. Stofophoping &lt;5 mm laagdikte.</w:t>
            </w:r>
          </w:p>
        </w:tc>
        <w:tc>
          <w:tcPr>
            <w:tcW w:type="dxa" w:w="3024"/>
          </w:tcPr>
          <w:p>
            <w:r/>
            <w:r>
              <w:rPr>
                <w:rFonts w:ascii="Calibri" w:hAnsi="Calibri"/>
                <w:sz w:val="20"/>
              </w:rPr>
              <w:t>Hoog</w:t>
            </w:r>
          </w:p>
        </w:tc>
      </w:tr>
      <w:tr>
        <w:tc>
          <w:tcPr>
            <w:tcW w:type="dxa" w:w="3024"/>
          </w:tcPr>
          <w:p>
            <w:r/>
            <w:r>
              <w:rPr>
                <w:rFonts w:ascii="Calibri" w:hAnsi="Calibri"/>
                <w:b/>
                <w:sz w:val="20"/>
              </w:rPr>
              <w:t>Onderhoudsprocedure</w:t>
            </w:r>
          </w:p>
        </w:tc>
        <w:tc>
          <w:tcPr>
            <w:tcW w:type="dxa" w:w="3024"/>
          </w:tcPr>
          <w:p>
            <w:r/>
            <w:r>
              <w:rPr>
                <w:rFonts w:ascii="Calibri" w:hAnsi="Calibri"/>
                <w:sz w:val="20"/>
              </w:rPr>
              <w:t>Preventief onderhoud ATEX-apparatuur conform fabrikantvoorschriften. Documentatie in CMMS.</w:t>
            </w:r>
          </w:p>
        </w:tc>
        <w:tc>
          <w:tcPr>
            <w:tcW w:type="dxa" w:w="3024"/>
          </w:tcPr>
          <w:p>
            <w:r/>
            <w:r>
              <w:rPr>
                <w:rFonts w:ascii="Calibri" w:hAnsi="Calibri"/>
                <w:sz w:val="20"/>
              </w:rPr>
              <w:t>Hoog</w:t>
            </w:r>
          </w:p>
        </w:tc>
      </w:tr>
      <w:tr>
        <w:tc>
          <w:tcPr>
            <w:tcW w:type="dxa" w:w="3024"/>
          </w:tcPr>
          <w:p>
            <w:r/>
            <w:r>
              <w:rPr>
                <w:rFonts w:ascii="Calibri" w:hAnsi="Calibri"/>
                <w:b/>
                <w:sz w:val="20"/>
              </w:rPr>
              <w:t>Werkvergunningssysteem</w:t>
            </w:r>
          </w:p>
        </w:tc>
        <w:tc>
          <w:tcPr>
            <w:tcW w:type="dxa" w:w="3024"/>
          </w:tcPr>
          <w:p>
            <w:r/>
            <w:r>
              <w:rPr>
                <w:rFonts w:ascii="Calibri" w:hAnsi="Calibri"/>
                <w:sz w:val="20"/>
              </w:rPr>
              <w:t>Werkvergunning voor alle werkzaamheden in ATEX-zones (heet werk, onderhoud, inspectie). Gasmeting en brandwacht verplicht.</w:t>
            </w:r>
          </w:p>
        </w:tc>
        <w:tc>
          <w:tcPr>
            <w:tcW w:type="dxa" w:w="3024"/>
          </w:tcPr>
          <w:p>
            <w:r/>
            <w:r>
              <w:rPr>
                <w:rFonts w:ascii="Calibri" w:hAnsi="Calibri"/>
                <w:sz w:val="20"/>
              </w:rPr>
              <w:t>Hoog</w:t>
            </w:r>
          </w:p>
        </w:tc>
      </w:tr>
      <w:tr>
        <w:tc>
          <w:tcPr>
            <w:tcW w:type="dxa" w:w="3024"/>
          </w:tcPr>
          <w:p>
            <w:r/>
            <w:r>
              <w:rPr>
                <w:rFonts w:ascii="Calibri" w:hAnsi="Calibri"/>
                <w:b/>
                <w:sz w:val="20"/>
              </w:rPr>
              <w:t>Training en instructie</w:t>
            </w:r>
          </w:p>
        </w:tc>
        <w:tc>
          <w:tcPr>
            <w:tcW w:type="dxa" w:w="3024"/>
          </w:tcPr>
          <w:p>
            <w:r/>
            <w:r>
              <w:rPr>
                <w:rFonts w:ascii="Calibri" w:hAnsi="Calibri"/>
                <w:sz w:val="20"/>
              </w:rPr>
              <w:t>ATEX-bewustzijnstraining voor alle medewerkers. Specifieke training operators in zones 20/21.</w:t>
            </w:r>
          </w:p>
        </w:tc>
        <w:tc>
          <w:tcPr>
            <w:tcW w:type="dxa" w:w="3024"/>
          </w:tcPr>
          <w:p>
            <w:r/>
            <w:r>
              <w:rPr>
                <w:rFonts w:ascii="Calibri" w:hAnsi="Calibri"/>
                <w:sz w:val="20"/>
              </w:rPr>
              <w:t>Midden</w:t>
            </w:r>
          </w:p>
        </w:tc>
      </w:tr>
      <w:tr>
        <w:tc>
          <w:tcPr>
            <w:tcW w:type="dxa" w:w="3024"/>
          </w:tcPr>
          <w:p>
            <w:r/>
            <w:r>
              <w:rPr>
                <w:rFonts w:ascii="Calibri" w:hAnsi="Calibri"/>
                <w:b/>
                <w:sz w:val="20"/>
              </w:rPr>
              <w:t>Explosiebeveiligingsdocument (EBD)</w:t>
            </w:r>
          </w:p>
        </w:tc>
        <w:tc>
          <w:tcPr>
            <w:tcW w:type="dxa" w:w="3024"/>
          </w:tcPr>
          <w:p>
            <w:r/>
            <w:r>
              <w:rPr>
                <w:rFonts w:ascii="Calibri" w:hAnsi="Calibri"/>
                <w:sz w:val="20"/>
              </w:rPr>
              <w:t>Formeel EBD conform ATEX 137 artikel 8 [1]. Geïntegreerd in VRIB BRZO 2015 [6].</w:t>
            </w:r>
          </w:p>
        </w:tc>
        <w:tc>
          <w:tcPr>
            <w:tcW w:type="dxa" w:w="3024"/>
          </w:tcPr>
          <w:p>
            <w:r/>
            <w:r>
              <w:rPr>
                <w:rFonts w:ascii="Calibri" w:hAnsi="Calibri"/>
                <w:sz w:val="20"/>
              </w:rPr>
              <w:t>Hoog</w:t>
            </w:r>
          </w:p>
        </w:tc>
      </w:tr>
    </w:tbl>
    <w:p>
      <w:pPr>
        <w:pStyle w:val="Heading2"/>
      </w:pPr>
      <w:r>
        <w:rPr>
          <w:color w:val="003366"/>
        </w:rPr>
        <w:t>10.4 Persoonlijke maatregelen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left"/>
            </w:pPr>
            <w:r/>
            <w:r>
              <w:rPr>
                <w:rFonts w:ascii="Calibri" w:hAnsi="Calibri"/>
                <w:b/>
                <w:color w:val="FFFFFF"/>
                <w:sz w:val="20"/>
              </w:rPr>
              <w:t>Maatregel</w:t>
            </w:r>
          </w:p>
        </w:tc>
        <w:tc>
          <w:tcPr>
            <w:tcW w:type="dxa" w:w="3024"/>
            <w:shd w:fill="003366"/>
          </w:tcPr>
          <w:p>
            <w:pPr>
              <w:jc w:val="left"/>
            </w:pPr>
            <w:r/>
            <w:r>
              <w:rPr>
                <w:rFonts w:ascii="Calibri" w:hAnsi="Calibri"/>
                <w:b/>
                <w:color w:val="FFFFFF"/>
                <w:sz w:val="20"/>
              </w:rPr>
              <w:t>Beschrijving</w:t>
            </w:r>
          </w:p>
        </w:tc>
        <w:tc>
          <w:tcPr>
            <w:tcW w:type="dxa" w:w="3024"/>
            <w:shd w:fill="003366"/>
          </w:tcPr>
          <w:p>
            <w:pPr>
              <w:jc w:val="left"/>
            </w:pPr>
            <w:r/>
            <w:r>
              <w:rPr>
                <w:rFonts w:ascii="Calibri" w:hAnsi="Calibri"/>
                <w:b/>
                <w:color w:val="FFFFFF"/>
                <w:sz w:val="20"/>
              </w:rPr>
              <w:t>Prioriteit</w:t>
            </w:r>
          </w:p>
        </w:tc>
      </w:tr>
      <w:tr>
        <w:tc>
          <w:tcPr>
            <w:tcW w:type="dxa" w:w="3024"/>
          </w:tcPr>
          <w:p>
            <w:r/>
            <w:r>
              <w:rPr>
                <w:rFonts w:ascii="Calibri" w:hAnsi="Calibri"/>
                <w:b/>
                <w:sz w:val="20"/>
              </w:rPr>
              <w:t>Ademhalingsbescherming</w:t>
            </w:r>
          </w:p>
        </w:tc>
        <w:tc>
          <w:tcPr>
            <w:tcW w:type="dxa" w:w="3024"/>
          </w:tcPr>
          <w:p>
            <w:r/>
            <w:r>
              <w:rPr>
                <w:rFonts w:ascii="Calibri" w:hAnsi="Calibri"/>
                <w:sz w:val="20"/>
              </w:rPr>
              <w:t>P3-filter of ademluchtmasker bij werkzaamheden in zones 20/21 (V₂O₅ is Carc. 1B, Acute Tox. 2) [7].</w:t>
            </w:r>
          </w:p>
        </w:tc>
        <w:tc>
          <w:tcPr>
            <w:tcW w:type="dxa" w:w="3024"/>
          </w:tcPr>
          <w:p>
            <w:r/>
            <w:r>
              <w:rPr>
                <w:rFonts w:ascii="Calibri" w:hAnsi="Calibri"/>
                <w:sz w:val="20"/>
              </w:rPr>
              <w:t>Hoog</w:t>
            </w:r>
          </w:p>
        </w:tc>
      </w:tr>
      <w:tr>
        <w:tc>
          <w:tcPr>
            <w:tcW w:type="dxa" w:w="3024"/>
          </w:tcPr>
          <w:p>
            <w:r/>
            <w:r>
              <w:rPr>
                <w:rFonts w:ascii="Calibri" w:hAnsi="Calibri"/>
                <w:b/>
                <w:sz w:val="20"/>
              </w:rPr>
              <w:t>Antistatische kleding</w:t>
            </w:r>
          </w:p>
        </w:tc>
        <w:tc>
          <w:tcPr>
            <w:tcW w:type="dxa" w:w="3024"/>
          </w:tcPr>
          <w:p>
            <w:r/>
            <w:r>
              <w:rPr>
                <w:rFonts w:ascii="Calibri" w:hAnsi="Calibri"/>
                <w:sz w:val="20"/>
              </w:rPr>
              <w:t>Geen synthetische kleding in ATEX-zones. Antistatische werkkleding en veiligheidsschoenen.</w:t>
            </w:r>
          </w:p>
        </w:tc>
        <w:tc>
          <w:tcPr>
            <w:tcW w:type="dxa" w:w="3024"/>
          </w:tcPr>
          <w:p>
            <w:r/>
            <w:r>
              <w:rPr>
                <w:rFonts w:ascii="Calibri" w:hAnsi="Calibri"/>
                <w:sz w:val="20"/>
              </w:rPr>
              <w:t>Midden</w:t>
            </w:r>
          </w:p>
        </w:tc>
      </w:tr>
      <w:tr>
        <w:tc>
          <w:tcPr>
            <w:tcW w:type="dxa" w:w="3024"/>
          </w:tcPr>
          <w:p>
            <w:r/>
            <w:r>
              <w:rPr>
                <w:rFonts w:ascii="Calibri" w:hAnsi="Calibri"/>
                <w:b/>
                <w:sz w:val="20"/>
              </w:rPr>
              <w:t>Veiligheidsbril / handschoenen</w:t>
            </w:r>
          </w:p>
        </w:tc>
        <w:tc>
          <w:tcPr>
            <w:tcW w:type="dxa" w:w="3024"/>
          </w:tcPr>
          <w:p>
            <w:r/>
            <w:r>
              <w:rPr>
                <w:rFonts w:ascii="Calibri" w:hAnsi="Calibri"/>
                <w:sz w:val="20"/>
              </w:rPr>
              <w:t>PBM conform TRA bij handling V₂O₅ poeder en stofbronnen.</w:t>
            </w:r>
          </w:p>
        </w:tc>
        <w:tc>
          <w:tcPr>
            <w:tcW w:type="dxa" w:w="3024"/>
          </w:tcPr>
          <w:p>
            <w:r/>
            <w:r>
              <w:rPr>
                <w:rFonts w:ascii="Calibri" w:hAnsi="Calibri"/>
                <w:sz w:val="20"/>
              </w:rPr>
              <w:t>Hoog</w:t>
            </w:r>
          </w:p>
        </w:tc>
      </w:tr>
    </w:tbl>
    <w:p>
      <w:r>
        <w:br w:type="page"/>
      </w:r>
    </w:p>
    <w:p>
      <w:pPr>
        <w:pStyle w:val="Heading1"/>
      </w:pPr>
      <w:r>
        <w:rPr>
          <w:color w:val="003366"/>
        </w:rPr>
        <w:t>11. Implementatieplan</w:t>
      </w:r>
    </w:p>
    <w:p>
      <w:r>
        <w:t>Onderstaand implementatieplan bevat de noodzakelijke acties om de stofexplosiebeveiliging en ATEX-zone-indeling operationeel te maken voor Phoenix Metals.</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512"/>
        <w:gridCol w:w="1512"/>
        <w:gridCol w:w="1512"/>
        <w:gridCol w:w="1512"/>
        <w:gridCol w:w="1512"/>
        <w:gridCol w:w="1512"/>
      </w:tblGrid>
      <w:tr>
        <w:tc>
          <w:tcPr>
            <w:tcW w:type="dxa" w:w="1512"/>
            <w:shd w:fill="003366"/>
          </w:tcPr>
          <w:p>
            <w:pPr>
              <w:jc w:val="left"/>
            </w:pPr>
            <w:r/>
            <w:r>
              <w:rPr>
                <w:rFonts w:ascii="Calibri" w:hAnsi="Calibri"/>
                <w:b/>
                <w:color w:val="FFFFFF"/>
                <w:sz w:val="20"/>
              </w:rPr>
              <w:t>#</w:t>
            </w:r>
          </w:p>
        </w:tc>
        <w:tc>
          <w:tcPr>
            <w:tcW w:type="dxa" w:w="1512"/>
            <w:shd w:fill="003366"/>
          </w:tcPr>
          <w:p>
            <w:pPr>
              <w:jc w:val="left"/>
            </w:pPr>
            <w:r/>
            <w:r>
              <w:rPr>
                <w:rFonts w:ascii="Calibri" w:hAnsi="Calibri"/>
                <w:b/>
                <w:color w:val="FFFFFF"/>
                <w:sz w:val="20"/>
              </w:rPr>
              <w:t>Actie</w:t>
            </w:r>
          </w:p>
        </w:tc>
        <w:tc>
          <w:tcPr>
            <w:tcW w:type="dxa" w:w="1512"/>
            <w:shd w:fill="003366"/>
          </w:tcPr>
          <w:p>
            <w:pPr>
              <w:jc w:val="left"/>
            </w:pPr>
            <w:r/>
            <w:r>
              <w:rPr>
                <w:rFonts w:ascii="Calibri" w:hAnsi="Calibri"/>
                <w:b/>
                <w:color w:val="FFFFFF"/>
                <w:sz w:val="20"/>
              </w:rPr>
              <w:t>Verantwoordelijke</w:t>
            </w:r>
          </w:p>
        </w:tc>
        <w:tc>
          <w:tcPr>
            <w:tcW w:type="dxa" w:w="1512"/>
            <w:shd w:fill="003366"/>
          </w:tcPr>
          <w:p>
            <w:pPr>
              <w:jc w:val="left"/>
            </w:pPr>
            <w:r/>
            <w:r>
              <w:rPr>
                <w:rFonts w:ascii="Calibri" w:hAnsi="Calibri"/>
                <w:b/>
                <w:color w:val="FFFFFF"/>
                <w:sz w:val="20"/>
              </w:rPr>
              <w:t>Deadline</w:t>
            </w:r>
          </w:p>
        </w:tc>
        <w:tc>
          <w:tcPr>
            <w:tcW w:type="dxa" w:w="1512"/>
            <w:shd w:fill="003366"/>
          </w:tcPr>
          <w:p>
            <w:pPr>
              <w:jc w:val="left"/>
            </w:pPr>
            <w:r/>
            <w:r>
              <w:rPr>
                <w:rFonts w:ascii="Calibri" w:hAnsi="Calibri"/>
                <w:b/>
                <w:color w:val="FFFFFF"/>
                <w:sz w:val="20"/>
              </w:rPr>
              <w:t>Prioriteit</w:t>
            </w:r>
          </w:p>
        </w:tc>
        <w:tc>
          <w:tcPr>
            <w:tcW w:type="dxa" w:w="1512"/>
            <w:shd w:fill="003366"/>
          </w:tcPr>
          <w:p>
            <w:pPr>
              <w:jc w:val="left"/>
            </w:pPr>
            <w:r/>
            <w:r>
              <w:rPr>
                <w:rFonts w:ascii="Calibri" w:hAnsi="Calibri"/>
                <w:b/>
                <w:color w:val="FFFFFF"/>
                <w:sz w:val="20"/>
              </w:rPr>
              <w:t>Status</w:t>
            </w:r>
          </w:p>
        </w:tc>
      </w:tr>
      <w:tr>
        <w:tc>
          <w:tcPr>
            <w:tcW w:type="dxa" w:w="1512"/>
          </w:tcPr>
          <w:p>
            <w:r/>
            <w:r>
              <w:rPr>
                <w:rFonts w:ascii="Calibri" w:hAnsi="Calibri"/>
                <w:sz w:val="20"/>
              </w:rPr>
              <w:t>1</w:t>
            </w:r>
          </w:p>
        </w:tc>
        <w:tc>
          <w:tcPr>
            <w:tcW w:type="dxa" w:w="1512"/>
          </w:tcPr>
          <w:p>
            <w:r/>
            <w:r>
              <w:rPr>
                <w:rFonts w:ascii="Calibri" w:hAnsi="Calibri"/>
                <w:sz w:val="20"/>
              </w:rPr>
              <w:t>Stofexplosietest V₂O₅ (Kst, Pmax, MIE)</w:t>
            </w:r>
          </w:p>
        </w:tc>
        <w:tc>
          <w:tcPr>
            <w:tcW w:type="dxa" w:w="1512"/>
          </w:tcPr>
          <w:p>
            <w:r/>
            <w:r>
              <w:rPr>
                <w:rFonts w:ascii="Calibri" w:hAnsi="Calibri"/>
                <w:sz w:val="20"/>
              </w:rPr>
              <w:t>HSEQ Manager</w:t>
            </w:r>
          </w:p>
        </w:tc>
        <w:tc>
          <w:tcPr>
            <w:tcW w:type="dxa" w:w="1512"/>
          </w:tcPr>
          <w:p>
            <w:r/>
            <w:r>
              <w:rPr>
                <w:rFonts w:ascii="Calibri" w:hAnsi="Calibri"/>
                <w:sz w:val="20"/>
              </w:rPr>
              <w:t>Q2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2</w:t>
            </w:r>
          </w:p>
        </w:tc>
        <w:tc>
          <w:tcPr>
            <w:tcW w:type="dxa" w:w="1512"/>
          </w:tcPr>
          <w:p>
            <w:r/>
            <w:r>
              <w:rPr>
                <w:rFonts w:ascii="Calibri" w:hAnsi="Calibri"/>
                <w:sz w:val="20"/>
              </w:rPr>
              <w:t>Stofexplosietest staalslakken fijn stof</w:t>
            </w:r>
          </w:p>
        </w:tc>
        <w:tc>
          <w:tcPr>
            <w:tcW w:type="dxa" w:w="1512"/>
          </w:tcPr>
          <w:p>
            <w:r/>
            <w:r>
              <w:rPr>
                <w:rFonts w:ascii="Calibri" w:hAnsi="Calibri"/>
                <w:sz w:val="20"/>
              </w:rPr>
              <w:t>HSEQ Manager</w:t>
            </w:r>
          </w:p>
        </w:tc>
        <w:tc>
          <w:tcPr>
            <w:tcW w:type="dxa" w:w="1512"/>
          </w:tcPr>
          <w:p>
            <w:r/>
            <w:r>
              <w:rPr>
                <w:rFonts w:ascii="Calibri" w:hAnsi="Calibri"/>
                <w:sz w:val="20"/>
              </w:rPr>
              <w:t>Q2 2026</w:t>
            </w:r>
          </w:p>
        </w:tc>
        <w:tc>
          <w:tcPr>
            <w:tcW w:type="dxa" w:w="1512"/>
            <w:shd w:fill="FEF3C7"/>
          </w:tcPr>
          <w:p>
            <w:r/>
            <w:r>
              <w:rPr>
                <w:rFonts w:ascii="Calibri" w:hAnsi="Calibri"/>
                <w:sz w:val="20"/>
              </w:rPr>
              <w:t>Midden</w:t>
            </w:r>
          </w:p>
        </w:tc>
        <w:tc>
          <w:tcPr>
            <w:tcW w:type="dxa" w:w="1512"/>
          </w:tcPr>
          <w:p>
            <w:r/>
            <w:r>
              <w:rPr>
                <w:rFonts w:ascii="Calibri" w:hAnsi="Calibri"/>
                <w:sz w:val="20"/>
              </w:rPr>
              <w:t>Open</w:t>
            </w:r>
          </w:p>
        </w:tc>
      </w:tr>
      <w:tr>
        <w:tc>
          <w:tcPr>
            <w:tcW w:type="dxa" w:w="1512"/>
          </w:tcPr>
          <w:p>
            <w:r/>
            <w:r>
              <w:rPr>
                <w:rFonts w:ascii="Calibri" w:hAnsi="Calibri"/>
                <w:sz w:val="20"/>
              </w:rPr>
              <w:t>3</w:t>
            </w:r>
          </w:p>
        </w:tc>
        <w:tc>
          <w:tcPr>
            <w:tcW w:type="dxa" w:w="1512"/>
          </w:tcPr>
          <w:p>
            <w:r/>
            <w:r>
              <w:rPr>
                <w:rFonts w:ascii="Calibri" w:hAnsi="Calibri"/>
                <w:sz w:val="20"/>
              </w:rPr>
              <w:t>Stofexplosietest aluminiumsulfaat</w:t>
            </w:r>
          </w:p>
        </w:tc>
        <w:tc>
          <w:tcPr>
            <w:tcW w:type="dxa" w:w="1512"/>
          </w:tcPr>
          <w:p>
            <w:r/>
            <w:r>
              <w:rPr>
                <w:rFonts w:ascii="Calibri" w:hAnsi="Calibri"/>
                <w:sz w:val="20"/>
              </w:rPr>
              <w:t>HSEQ Manager</w:t>
            </w:r>
          </w:p>
        </w:tc>
        <w:tc>
          <w:tcPr>
            <w:tcW w:type="dxa" w:w="1512"/>
          </w:tcPr>
          <w:p>
            <w:r/>
            <w:r>
              <w:rPr>
                <w:rFonts w:ascii="Calibri" w:hAnsi="Calibri"/>
                <w:sz w:val="20"/>
              </w:rPr>
              <w:t>Q3 2026</w:t>
            </w:r>
          </w:p>
        </w:tc>
        <w:tc>
          <w:tcPr>
            <w:tcW w:type="dxa" w:w="1512"/>
          </w:tcPr>
          <w:p>
            <w:r/>
            <w:r>
              <w:rPr>
                <w:rFonts w:ascii="Calibri" w:hAnsi="Calibri"/>
                <w:sz w:val="20"/>
              </w:rPr>
              <w:t>Laag</w:t>
            </w:r>
          </w:p>
        </w:tc>
        <w:tc>
          <w:tcPr>
            <w:tcW w:type="dxa" w:w="1512"/>
          </w:tcPr>
          <w:p>
            <w:r/>
            <w:r>
              <w:rPr>
                <w:rFonts w:ascii="Calibri" w:hAnsi="Calibri"/>
                <w:sz w:val="20"/>
              </w:rPr>
              <w:t>Open</w:t>
            </w:r>
          </w:p>
        </w:tc>
      </w:tr>
      <w:tr>
        <w:tc>
          <w:tcPr>
            <w:tcW w:type="dxa" w:w="1512"/>
          </w:tcPr>
          <w:p>
            <w:r/>
            <w:r>
              <w:rPr>
                <w:rFonts w:ascii="Calibri" w:hAnsi="Calibri"/>
                <w:sz w:val="20"/>
              </w:rPr>
              <w:t>4</w:t>
            </w:r>
          </w:p>
        </w:tc>
        <w:tc>
          <w:tcPr>
            <w:tcW w:type="dxa" w:w="1512"/>
          </w:tcPr>
          <w:p>
            <w:r/>
            <w:r>
              <w:rPr>
                <w:rFonts w:ascii="Calibri" w:hAnsi="Calibri"/>
                <w:sz w:val="20"/>
              </w:rPr>
              <w:t>ATEX-zone-indeling verwerken op GA-layout</w:t>
            </w:r>
          </w:p>
        </w:tc>
        <w:tc>
          <w:tcPr>
            <w:tcW w:type="dxa" w:w="1512"/>
          </w:tcPr>
          <w:p>
            <w:r/>
            <w:r>
              <w:rPr>
                <w:rFonts w:ascii="Calibri" w:hAnsi="Calibri"/>
                <w:sz w:val="20"/>
              </w:rPr>
              <w:t>Engineering / HSEQ</w:t>
            </w:r>
          </w:p>
        </w:tc>
        <w:tc>
          <w:tcPr>
            <w:tcW w:type="dxa" w:w="1512"/>
          </w:tcPr>
          <w:p>
            <w:r/>
            <w:r>
              <w:rPr>
                <w:rFonts w:ascii="Calibri" w:hAnsi="Calibri"/>
                <w:sz w:val="20"/>
              </w:rPr>
              <w:t>Q2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5</w:t>
            </w:r>
          </w:p>
        </w:tc>
        <w:tc>
          <w:tcPr>
            <w:tcW w:type="dxa" w:w="1512"/>
          </w:tcPr>
          <w:p>
            <w:r/>
            <w:r>
              <w:rPr>
                <w:rFonts w:ascii="Calibri" w:hAnsi="Calibri"/>
                <w:sz w:val="20"/>
              </w:rPr>
              <w:t>Inventarisatie elektrische apparatuur in zones</w:t>
            </w:r>
          </w:p>
        </w:tc>
        <w:tc>
          <w:tcPr>
            <w:tcW w:type="dxa" w:w="1512"/>
          </w:tcPr>
          <w:p>
            <w:r/>
            <w:r>
              <w:rPr>
                <w:rFonts w:ascii="Calibri" w:hAnsi="Calibri"/>
                <w:sz w:val="20"/>
              </w:rPr>
              <w:t>Technische Dienst</w:t>
            </w:r>
          </w:p>
        </w:tc>
        <w:tc>
          <w:tcPr>
            <w:tcW w:type="dxa" w:w="1512"/>
          </w:tcPr>
          <w:p>
            <w:r/>
            <w:r>
              <w:rPr>
                <w:rFonts w:ascii="Calibri" w:hAnsi="Calibri"/>
                <w:sz w:val="20"/>
              </w:rPr>
              <w:t>Q2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6</w:t>
            </w:r>
          </w:p>
        </w:tc>
        <w:tc>
          <w:tcPr>
            <w:tcW w:type="dxa" w:w="1512"/>
          </w:tcPr>
          <w:p>
            <w:r/>
            <w:r>
              <w:rPr>
                <w:rFonts w:ascii="Calibri" w:hAnsi="Calibri"/>
                <w:sz w:val="20"/>
              </w:rPr>
              <w:t>ATEX-apparatuur selectie en installatie</w:t>
            </w:r>
          </w:p>
        </w:tc>
        <w:tc>
          <w:tcPr>
            <w:tcW w:type="dxa" w:w="1512"/>
          </w:tcPr>
          <w:p>
            <w:r/>
            <w:r>
              <w:rPr>
                <w:rFonts w:ascii="Calibri" w:hAnsi="Calibri"/>
                <w:sz w:val="20"/>
              </w:rPr>
              <w:t>Technische Dienst</w:t>
            </w:r>
          </w:p>
        </w:tc>
        <w:tc>
          <w:tcPr>
            <w:tcW w:type="dxa" w:w="1512"/>
          </w:tcPr>
          <w:p>
            <w:r/>
            <w:r>
              <w:rPr>
                <w:rFonts w:ascii="Calibri" w:hAnsi="Calibri"/>
                <w:sz w:val="20"/>
              </w:rPr>
              <w:t>Q3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7</w:t>
            </w:r>
          </w:p>
        </w:tc>
        <w:tc>
          <w:tcPr>
            <w:tcW w:type="dxa" w:w="1512"/>
          </w:tcPr>
          <w:p>
            <w:r/>
            <w:r>
              <w:rPr>
                <w:rFonts w:ascii="Calibri" w:hAnsi="Calibri"/>
                <w:sz w:val="20"/>
              </w:rPr>
              <w:t>Aardingssysteem installeren en valideren</w:t>
            </w:r>
          </w:p>
        </w:tc>
        <w:tc>
          <w:tcPr>
            <w:tcW w:type="dxa" w:w="1512"/>
          </w:tcPr>
          <w:p>
            <w:r/>
            <w:r>
              <w:rPr>
                <w:rFonts w:ascii="Calibri" w:hAnsi="Calibri"/>
                <w:sz w:val="20"/>
              </w:rPr>
              <w:t>Technische Dienst</w:t>
            </w:r>
          </w:p>
        </w:tc>
        <w:tc>
          <w:tcPr>
            <w:tcW w:type="dxa" w:w="1512"/>
          </w:tcPr>
          <w:p>
            <w:r/>
            <w:r>
              <w:rPr>
                <w:rFonts w:ascii="Calibri" w:hAnsi="Calibri"/>
                <w:sz w:val="20"/>
              </w:rPr>
              <w:t>Q2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8</w:t>
            </w:r>
          </w:p>
        </w:tc>
        <w:tc>
          <w:tcPr>
            <w:tcW w:type="dxa" w:w="1512"/>
          </w:tcPr>
          <w:p>
            <w:r/>
            <w:r>
              <w:rPr>
                <w:rFonts w:ascii="Calibri" w:hAnsi="Calibri"/>
                <w:sz w:val="20"/>
              </w:rPr>
              <w:t>Explosieontlastingskleppen ontwerpen en installeren (oven)</w:t>
            </w:r>
          </w:p>
        </w:tc>
        <w:tc>
          <w:tcPr>
            <w:tcW w:type="dxa" w:w="1512"/>
          </w:tcPr>
          <w:p>
            <w:r/>
            <w:r>
              <w:rPr>
                <w:rFonts w:ascii="Calibri" w:hAnsi="Calibri"/>
                <w:sz w:val="20"/>
              </w:rPr>
              <w:t>Engineering</w:t>
            </w:r>
          </w:p>
        </w:tc>
        <w:tc>
          <w:tcPr>
            <w:tcW w:type="dxa" w:w="1512"/>
          </w:tcPr>
          <w:p>
            <w:r/>
            <w:r>
              <w:rPr>
                <w:rFonts w:ascii="Calibri" w:hAnsi="Calibri"/>
                <w:sz w:val="20"/>
              </w:rPr>
              <w:t>Q3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9</w:t>
            </w:r>
          </w:p>
        </w:tc>
        <w:tc>
          <w:tcPr>
            <w:tcW w:type="dxa" w:w="1512"/>
          </w:tcPr>
          <w:p>
            <w:r/>
            <w:r>
              <w:rPr>
                <w:rFonts w:ascii="Calibri" w:hAnsi="Calibri"/>
                <w:sz w:val="20"/>
              </w:rPr>
              <w:t>Lokale afzuiging (LEV) installeren verpakkingslijn</w:t>
            </w:r>
          </w:p>
        </w:tc>
        <w:tc>
          <w:tcPr>
            <w:tcW w:type="dxa" w:w="1512"/>
          </w:tcPr>
          <w:p>
            <w:r/>
            <w:r>
              <w:rPr>
                <w:rFonts w:ascii="Calibri" w:hAnsi="Calibri"/>
                <w:sz w:val="20"/>
              </w:rPr>
              <w:t>Technische Dienst</w:t>
            </w:r>
          </w:p>
        </w:tc>
        <w:tc>
          <w:tcPr>
            <w:tcW w:type="dxa" w:w="1512"/>
          </w:tcPr>
          <w:p>
            <w:r/>
            <w:r>
              <w:rPr>
                <w:rFonts w:ascii="Calibri" w:hAnsi="Calibri"/>
                <w:sz w:val="20"/>
              </w:rPr>
              <w:t>Q3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10</w:t>
            </w:r>
          </w:p>
        </w:tc>
        <w:tc>
          <w:tcPr>
            <w:tcW w:type="dxa" w:w="1512"/>
          </w:tcPr>
          <w:p>
            <w:r/>
            <w:r>
              <w:rPr>
                <w:rFonts w:ascii="Calibri" w:hAnsi="Calibri"/>
                <w:sz w:val="20"/>
              </w:rPr>
              <w:t>Reinigingsprogramma implementeren</w:t>
            </w:r>
          </w:p>
        </w:tc>
        <w:tc>
          <w:tcPr>
            <w:tcW w:type="dxa" w:w="1512"/>
          </w:tcPr>
          <w:p>
            <w:r/>
            <w:r>
              <w:rPr>
                <w:rFonts w:ascii="Calibri" w:hAnsi="Calibri"/>
                <w:sz w:val="20"/>
              </w:rPr>
              <w:t>Operations Manager</w:t>
            </w:r>
          </w:p>
        </w:tc>
        <w:tc>
          <w:tcPr>
            <w:tcW w:type="dxa" w:w="1512"/>
          </w:tcPr>
          <w:p>
            <w:r/>
            <w:r>
              <w:rPr>
                <w:rFonts w:ascii="Calibri" w:hAnsi="Calibri"/>
                <w:sz w:val="20"/>
              </w:rPr>
              <w:t>Q2 2026</w:t>
            </w:r>
          </w:p>
        </w:tc>
        <w:tc>
          <w:tcPr>
            <w:tcW w:type="dxa" w:w="1512"/>
            <w:shd w:fill="FEF3C7"/>
          </w:tcPr>
          <w:p>
            <w:r/>
            <w:r>
              <w:rPr>
                <w:rFonts w:ascii="Calibri" w:hAnsi="Calibri"/>
                <w:sz w:val="20"/>
              </w:rPr>
              <w:t>Midden</w:t>
            </w:r>
          </w:p>
        </w:tc>
        <w:tc>
          <w:tcPr>
            <w:tcW w:type="dxa" w:w="1512"/>
          </w:tcPr>
          <w:p>
            <w:r/>
            <w:r>
              <w:rPr>
                <w:rFonts w:ascii="Calibri" w:hAnsi="Calibri"/>
                <w:sz w:val="20"/>
              </w:rPr>
              <w:t>Open</w:t>
            </w:r>
          </w:p>
        </w:tc>
      </w:tr>
      <w:tr>
        <w:tc>
          <w:tcPr>
            <w:tcW w:type="dxa" w:w="1512"/>
          </w:tcPr>
          <w:p>
            <w:r/>
            <w:r>
              <w:rPr>
                <w:rFonts w:ascii="Calibri" w:hAnsi="Calibri"/>
                <w:sz w:val="20"/>
              </w:rPr>
              <w:t>11</w:t>
            </w:r>
          </w:p>
        </w:tc>
        <w:tc>
          <w:tcPr>
            <w:tcW w:type="dxa" w:w="1512"/>
          </w:tcPr>
          <w:p>
            <w:r/>
            <w:r>
              <w:rPr>
                <w:rFonts w:ascii="Calibri" w:hAnsi="Calibri"/>
                <w:sz w:val="20"/>
              </w:rPr>
              <w:t>Werkvergunningssysteem ATEX-module activeren</w:t>
            </w:r>
          </w:p>
        </w:tc>
        <w:tc>
          <w:tcPr>
            <w:tcW w:type="dxa" w:w="1512"/>
          </w:tcPr>
          <w:p>
            <w:r/>
            <w:r>
              <w:rPr>
                <w:rFonts w:ascii="Calibri" w:hAnsi="Calibri"/>
                <w:sz w:val="20"/>
              </w:rPr>
              <w:t>HSEQ Manager</w:t>
            </w:r>
          </w:p>
        </w:tc>
        <w:tc>
          <w:tcPr>
            <w:tcW w:type="dxa" w:w="1512"/>
          </w:tcPr>
          <w:p>
            <w:r/>
            <w:r>
              <w:rPr>
                <w:rFonts w:ascii="Calibri" w:hAnsi="Calibri"/>
                <w:sz w:val="20"/>
              </w:rPr>
              <w:t>Q2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12</w:t>
            </w:r>
          </w:p>
        </w:tc>
        <w:tc>
          <w:tcPr>
            <w:tcW w:type="dxa" w:w="1512"/>
          </w:tcPr>
          <w:p>
            <w:r/>
            <w:r>
              <w:rPr>
                <w:rFonts w:ascii="Calibri" w:hAnsi="Calibri"/>
                <w:sz w:val="20"/>
              </w:rPr>
              <w:t>ATEX-training medewerkers (bewustzijn + operator)</w:t>
            </w:r>
          </w:p>
        </w:tc>
        <w:tc>
          <w:tcPr>
            <w:tcW w:type="dxa" w:w="1512"/>
          </w:tcPr>
          <w:p>
            <w:r/>
            <w:r>
              <w:rPr>
                <w:rFonts w:ascii="Calibri" w:hAnsi="Calibri"/>
                <w:sz w:val="20"/>
              </w:rPr>
              <w:t>HSEQ Manager</w:t>
            </w:r>
          </w:p>
        </w:tc>
        <w:tc>
          <w:tcPr>
            <w:tcW w:type="dxa" w:w="1512"/>
          </w:tcPr>
          <w:p>
            <w:r/>
            <w:r>
              <w:rPr>
                <w:rFonts w:ascii="Calibri" w:hAnsi="Calibri"/>
                <w:sz w:val="20"/>
              </w:rPr>
              <w:t>Q3 2026</w:t>
            </w:r>
          </w:p>
        </w:tc>
        <w:tc>
          <w:tcPr>
            <w:tcW w:type="dxa" w:w="1512"/>
            <w:shd w:fill="FEF3C7"/>
          </w:tcPr>
          <w:p>
            <w:r/>
            <w:r>
              <w:rPr>
                <w:rFonts w:ascii="Calibri" w:hAnsi="Calibri"/>
                <w:sz w:val="20"/>
              </w:rPr>
              <w:t>Midden</w:t>
            </w:r>
          </w:p>
        </w:tc>
        <w:tc>
          <w:tcPr>
            <w:tcW w:type="dxa" w:w="1512"/>
          </w:tcPr>
          <w:p>
            <w:r/>
            <w:r>
              <w:rPr>
                <w:rFonts w:ascii="Calibri" w:hAnsi="Calibri"/>
                <w:sz w:val="20"/>
              </w:rPr>
              <w:t>Open</w:t>
            </w:r>
          </w:p>
        </w:tc>
      </w:tr>
      <w:tr>
        <w:tc>
          <w:tcPr>
            <w:tcW w:type="dxa" w:w="1512"/>
          </w:tcPr>
          <w:p>
            <w:r/>
            <w:r>
              <w:rPr>
                <w:rFonts w:ascii="Calibri" w:hAnsi="Calibri"/>
                <w:sz w:val="20"/>
              </w:rPr>
              <w:t>13</w:t>
            </w:r>
          </w:p>
        </w:tc>
        <w:tc>
          <w:tcPr>
            <w:tcW w:type="dxa" w:w="1512"/>
          </w:tcPr>
          <w:p>
            <w:r/>
            <w:r>
              <w:rPr>
                <w:rFonts w:ascii="Calibri" w:hAnsi="Calibri"/>
                <w:sz w:val="20"/>
              </w:rPr>
              <w:t>Explosiebeveiligingsdocument (EBD) formaliseren</w:t>
            </w:r>
          </w:p>
        </w:tc>
        <w:tc>
          <w:tcPr>
            <w:tcW w:type="dxa" w:w="1512"/>
          </w:tcPr>
          <w:p>
            <w:r/>
            <w:r>
              <w:rPr>
                <w:rFonts w:ascii="Calibri" w:hAnsi="Calibri"/>
                <w:sz w:val="20"/>
              </w:rPr>
              <w:t>HSEQ Manager</w:t>
            </w:r>
          </w:p>
        </w:tc>
        <w:tc>
          <w:tcPr>
            <w:tcW w:type="dxa" w:w="1512"/>
          </w:tcPr>
          <w:p>
            <w:r/>
            <w:r>
              <w:rPr>
                <w:rFonts w:ascii="Calibri" w:hAnsi="Calibri"/>
                <w:sz w:val="20"/>
              </w:rPr>
              <w:t>Q3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14</w:t>
            </w:r>
          </w:p>
        </w:tc>
        <w:tc>
          <w:tcPr>
            <w:tcW w:type="dxa" w:w="1512"/>
          </w:tcPr>
          <w:p>
            <w:r/>
            <w:r>
              <w:rPr>
                <w:rFonts w:ascii="Calibri" w:hAnsi="Calibri"/>
                <w:sz w:val="20"/>
              </w:rPr>
              <w:t>Geleidende big bags (type C) aanschaffen</w:t>
            </w:r>
          </w:p>
        </w:tc>
        <w:tc>
          <w:tcPr>
            <w:tcW w:type="dxa" w:w="1512"/>
          </w:tcPr>
          <w:p>
            <w:r/>
            <w:r>
              <w:rPr>
                <w:rFonts w:ascii="Calibri" w:hAnsi="Calibri"/>
                <w:sz w:val="20"/>
              </w:rPr>
              <w:t>Inkoop</w:t>
            </w:r>
          </w:p>
        </w:tc>
        <w:tc>
          <w:tcPr>
            <w:tcW w:type="dxa" w:w="1512"/>
          </w:tcPr>
          <w:p>
            <w:r/>
            <w:r>
              <w:rPr>
                <w:rFonts w:ascii="Calibri" w:hAnsi="Calibri"/>
                <w:sz w:val="20"/>
              </w:rPr>
              <w:t>Q2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r>
        <w:tc>
          <w:tcPr>
            <w:tcW w:type="dxa" w:w="1512"/>
          </w:tcPr>
          <w:p>
            <w:r/>
            <w:r>
              <w:rPr>
                <w:rFonts w:ascii="Calibri" w:hAnsi="Calibri"/>
                <w:sz w:val="20"/>
              </w:rPr>
              <w:t>15</w:t>
            </w:r>
          </w:p>
        </w:tc>
        <w:tc>
          <w:tcPr>
            <w:tcW w:type="dxa" w:w="1512"/>
          </w:tcPr>
          <w:p>
            <w:r/>
            <w:r>
              <w:rPr>
                <w:rFonts w:ascii="Calibri" w:hAnsi="Calibri"/>
                <w:sz w:val="20"/>
              </w:rPr>
              <w:t>Integratie EBD in VRIB BRZO 2015</w:t>
            </w:r>
          </w:p>
        </w:tc>
        <w:tc>
          <w:tcPr>
            <w:tcW w:type="dxa" w:w="1512"/>
          </w:tcPr>
          <w:p>
            <w:r/>
            <w:r>
              <w:rPr>
                <w:rFonts w:ascii="Calibri" w:hAnsi="Calibri"/>
                <w:sz w:val="20"/>
              </w:rPr>
              <w:t>HSEQ Manager</w:t>
            </w:r>
          </w:p>
        </w:tc>
        <w:tc>
          <w:tcPr>
            <w:tcW w:type="dxa" w:w="1512"/>
          </w:tcPr>
          <w:p>
            <w:r/>
            <w:r>
              <w:rPr>
                <w:rFonts w:ascii="Calibri" w:hAnsi="Calibri"/>
                <w:sz w:val="20"/>
              </w:rPr>
              <w:t>Q4 2026</w:t>
            </w:r>
          </w:p>
        </w:tc>
        <w:tc>
          <w:tcPr>
            <w:tcW w:type="dxa" w:w="1512"/>
            <w:shd w:fill="FECACA"/>
          </w:tcPr>
          <w:p>
            <w:r/>
            <w:r>
              <w:rPr>
                <w:rFonts w:ascii="Calibri" w:hAnsi="Calibri"/>
                <w:sz w:val="20"/>
              </w:rPr>
              <w:t>Hoog</w:t>
            </w:r>
          </w:p>
        </w:tc>
        <w:tc>
          <w:tcPr>
            <w:tcW w:type="dxa" w:w="1512"/>
          </w:tcPr>
          <w:p>
            <w:r/>
            <w:r>
              <w:rPr>
                <w:rFonts w:ascii="Calibri" w:hAnsi="Calibri"/>
                <w:sz w:val="20"/>
              </w:rPr>
              <w:t>Open</w:t>
            </w:r>
          </w:p>
        </w:tc>
      </w:tr>
    </w:tbl>
    <w:p>
      <w:r>
        <w:br w:type="page"/>
      </w:r>
    </w:p>
    <w:p>
      <w:pPr>
        <w:pStyle w:val="Heading1"/>
      </w:pPr>
      <w:r>
        <w:rPr>
          <w:color w:val="003366"/>
        </w:rPr>
        <w:t>12. Bronnenlijst</w:t>
      </w:r>
    </w:p>
    <w:p>
      <w:r>
        <w:t>[1] ATEX 137 — Richtlijn 1999/92/EG van het Europees Parlement en de Raad betreffende minimale voorschriften voor de verbetering van de veiligheid en de gezondheidsbescherming van werknemers die aan risico's door explosieve atmosferen kunnen worden blootgesteld.</w:t>
      </w:r>
    </w:p>
    <w:p>
      <w:r>
        <w:t>[2] ATEX 114 — Richtlijn 2014/34/EU van het Europees Parlement en de Raad betreffende de harmonisatie van de wetgevingen van de lidstaten inzake apparatuur en beschermingssystemen die in explosiegevaarlijke atmosferen worden gebruikt.</w:t>
      </w:r>
    </w:p>
    <w:p>
      <w:r>
        <w:t>[3] NEN-EN 60079-10-2 — Explosieve atmosferen — Deel 10-2: Classificatie van gebieden — Brandbare stofwolken.</w:t>
      </w:r>
    </w:p>
    <w:p>
      <w:r>
        <w:t>[4] NEN-EN 1127-1 — Explosieve atmosferen — Explosiepreventie en -bescherming — Deel 1: Basisbegrippen en methodologie.</w:t>
      </w:r>
    </w:p>
    <w:p>
      <w:r>
        <w:t>[5] NEN-EN 14491 — Stofexplosiebeveiliging — Ontwerp van explosieontlastings systemen.</w:t>
      </w:r>
    </w:p>
    <w:p>
      <w:r>
        <w:t>[6] BRZO 2015 (Besluit risico's zware ongevallen 2015) — Implementatie Seveso III richtlijn (2012/18/EU).</w:t>
      </w:r>
    </w:p>
    <w:p>
      <w:r>
        <w:t>[7] Meta-Dossier VBS Element 2 v1.0 — Phoenix Metals Vanadiumproductie, JvG Consultancy, 29 april 2026.</w:t>
      </w:r>
    </w:p>
    <w:p>
      <w:r>
        <w:br w:type="page"/>
      </w:r>
    </w:p>
    <w:p>
      <w:pPr>
        <w:pStyle w:val="Heading1"/>
      </w:pPr>
      <w:r>
        <w:rPr>
          <w:color w:val="003366"/>
        </w:rPr>
        <w:t>13. TierVerify Log</w:t>
      </w:r>
    </w:p>
    <w:p>
      <w:r>
        <w:t>Onderstaande TierVerify log documenteert de verificatiestappen uitgevoerd op dit document, conform MASTER_STYLEGUIDE §13.</w:t>
      </w:r>
    </w:p>
    <w:p>
      <w:pPr>
        <w:pStyle w:val="Heading2"/>
      </w:pPr>
      <w:r>
        <w:rPr>
          <w:color w:val="003366"/>
        </w:rPr>
        <w:t>13.1 Verificatie Stofkarakteristieken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1814"/>
            <w:shd w:fill="003366"/>
          </w:tcPr>
          <w:p>
            <w:pPr>
              <w:jc w:val="left"/>
            </w:pPr>
            <w:r/>
            <w:r>
              <w:rPr>
                <w:rFonts w:ascii="Calibri" w:hAnsi="Calibri"/>
                <w:b/>
                <w:color w:val="FFFFFF"/>
                <w:sz w:val="20"/>
              </w:rPr>
              <w:t>#</w:t>
            </w:r>
          </w:p>
        </w:tc>
        <w:tc>
          <w:tcPr>
            <w:tcW w:type="dxa" w:w="1814"/>
            <w:shd w:fill="003366"/>
          </w:tcPr>
          <w:p>
            <w:pPr>
              <w:jc w:val="left"/>
            </w:pPr>
            <w:r/>
            <w:r>
              <w:rPr>
                <w:rFonts w:ascii="Calibri" w:hAnsi="Calibri"/>
                <w:b/>
                <w:color w:val="FFFFFF"/>
                <w:sz w:val="20"/>
              </w:rPr>
              <w:t>Parameter</w:t>
            </w:r>
          </w:p>
        </w:tc>
        <w:tc>
          <w:tcPr>
            <w:tcW w:type="dxa" w:w="1814"/>
            <w:shd w:fill="003366"/>
          </w:tcPr>
          <w:p>
            <w:pPr>
              <w:jc w:val="left"/>
            </w:pPr>
            <w:r/>
            <w:r>
              <w:rPr>
                <w:rFonts w:ascii="Calibri" w:hAnsi="Calibri"/>
                <w:b/>
                <w:color w:val="FFFFFF"/>
                <w:sz w:val="20"/>
              </w:rPr>
              <w:t>Controle</w:t>
            </w:r>
          </w:p>
        </w:tc>
        <w:tc>
          <w:tcPr>
            <w:tcW w:type="dxa" w:w="1814"/>
            <w:shd w:fill="003366"/>
          </w:tcPr>
          <w:p>
            <w:pPr>
              <w:jc w:val="left"/>
            </w:pPr>
            <w:r/>
            <w:r>
              <w:rPr>
                <w:rFonts w:ascii="Calibri" w:hAnsi="Calibri"/>
                <w:b/>
                <w:color w:val="FFFFFF"/>
                <w:sz w:val="20"/>
              </w:rPr>
              <w:t>Bron</w:t>
            </w:r>
          </w:p>
        </w:tc>
        <w:tc>
          <w:tcPr>
            <w:tcW w:type="dxa" w:w="1814"/>
            <w:shd w:fill="003366"/>
          </w:tcPr>
          <w:p>
            <w:pPr>
              <w:jc w:val="left"/>
            </w:pPr>
            <w:r/>
            <w:r>
              <w:rPr>
                <w:rFonts w:ascii="Calibri" w:hAnsi="Calibri"/>
                <w:b/>
                <w:color w:val="FFFFFF"/>
                <w:sz w:val="20"/>
              </w:rPr>
              <w:t>Status</w:t>
            </w:r>
          </w:p>
        </w:tc>
      </w:tr>
      <w:tr>
        <w:tc>
          <w:tcPr>
            <w:tcW w:type="dxa" w:w="1814"/>
          </w:tcPr>
          <w:p>
            <w:r/>
            <w:r>
              <w:rPr>
                <w:rFonts w:ascii="Calibri" w:hAnsi="Calibri"/>
                <w:sz w:val="20"/>
              </w:rPr>
              <w:t>1</w:t>
            </w:r>
          </w:p>
        </w:tc>
        <w:tc>
          <w:tcPr>
            <w:tcW w:type="dxa" w:w="1814"/>
          </w:tcPr>
          <w:p>
            <w:r/>
            <w:r>
              <w:rPr>
                <w:rFonts w:ascii="Calibri" w:hAnsi="Calibri"/>
                <w:sz w:val="20"/>
              </w:rPr>
              <w:t>V₂O₅ Kst-waarde (50–100 bar·m/s)</w:t>
            </w:r>
          </w:p>
        </w:tc>
        <w:tc>
          <w:tcPr>
            <w:tcW w:type="dxa" w:w="1814"/>
          </w:tcPr>
          <w:p>
            <w:r/>
            <w:r>
              <w:rPr>
                <w:rFonts w:ascii="Calibri" w:hAnsi="Calibri"/>
                <w:sz w:val="20"/>
              </w:rPr>
              <w:t>Literatuur: metaaloxiden St-1 bereik. Exacte waar TBD — test vereist.</w:t>
            </w:r>
          </w:p>
        </w:tc>
        <w:tc>
          <w:tcPr>
            <w:tcW w:type="dxa" w:w="1814"/>
          </w:tcPr>
          <w:p>
            <w:r/>
            <w:r>
              <w:rPr>
                <w:rFonts w:ascii="Calibri" w:hAnsi="Calibri"/>
                <w:sz w:val="20"/>
              </w:rPr>
              <w:t>Literatuur / BIA-Report</w:t>
            </w:r>
          </w:p>
        </w:tc>
        <w:tc>
          <w:tcPr>
            <w:tcW w:type="dxa" w:w="1814"/>
          </w:tcPr>
          <w:p>
            <w:r/>
            <w:r>
              <w:rPr>
                <w:rFonts w:ascii="Calibri" w:hAnsi="Calibri"/>
                <w:sz w:val="20"/>
              </w:rPr>
              <w:t>⚠️ Te verifiëren via test</w:t>
            </w:r>
          </w:p>
        </w:tc>
      </w:tr>
      <w:tr>
        <w:tc>
          <w:tcPr>
            <w:tcW w:type="dxa" w:w="1814"/>
          </w:tcPr>
          <w:p>
            <w:r/>
            <w:r>
              <w:rPr>
                <w:rFonts w:ascii="Calibri" w:hAnsi="Calibri"/>
                <w:sz w:val="20"/>
              </w:rPr>
              <w:t>2</w:t>
            </w:r>
          </w:p>
        </w:tc>
        <w:tc>
          <w:tcPr>
            <w:tcW w:type="dxa" w:w="1814"/>
          </w:tcPr>
          <w:p>
            <w:r/>
            <w:r>
              <w:rPr>
                <w:rFonts w:ascii="Calibri" w:hAnsi="Calibri"/>
                <w:sz w:val="20"/>
              </w:rPr>
              <w:t>V₂O₅ Pmax (4–6 bar)</w:t>
            </w:r>
          </w:p>
        </w:tc>
        <w:tc>
          <w:tcPr>
            <w:tcW w:type="dxa" w:w="1814"/>
          </w:tcPr>
          <w:p>
            <w:r/>
            <w:r>
              <w:rPr>
                <w:rFonts w:ascii="Calibri" w:hAnsi="Calibri"/>
                <w:sz w:val="20"/>
              </w:rPr>
              <w:t>Consistent met St-1 karakteristiek (Pmax typisch &lt;8 bar).</w:t>
            </w:r>
          </w:p>
        </w:tc>
        <w:tc>
          <w:tcPr>
            <w:tcW w:type="dxa" w:w="1814"/>
          </w:tcPr>
          <w:p>
            <w:r/>
            <w:r>
              <w:rPr>
                <w:rFonts w:ascii="Calibri" w:hAnsi="Calibri"/>
                <w:sz w:val="20"/>
              </w:rPr>
              <w:t>Literatuur</w:t>
            </w:r>
          </w:p>
        </w:tc>
        <w:tc>
          <w:tcPr>
            <w:tcW w:type="dxa" w:w="1814"/>
          </w:tcPr>
          <w:p>
            <w:r/>
            <w:r>
              <w:rPr>
                <w:rFonts w:ascii="Calibri" w:hAnsi="Calibri"/>
                <w:sz w:val="20"/>
              </w:rPr>
              <w:t>⚠️ Te verifiëren via test</w:t>
            </w:r>
          </w:p>
        </w:tc>
      </w:tr>
      <w:tr>
        <w:tc>
          <w:tcPr>
            <w:tcW w:type="dxa" w:w="1814"/>
          </w:tcPr>
          <w:p>
            <w:r/>
            <w:r>
              <w:rPr>
                <w:rFonts w:ascii="Calibri" w:hAnsi="Calibri"/>
                <w:sz w:val="20"/>
              </w:rPr>
              <w:t>3</w:t>
            </w:r>
          </w:p>
        </w:tc>
        <w:tc>
          <w:tcPr>
            <w:tcW w:type="dxa" w:w="1814"/>
          </w:tcPr>
          <w:p>
            <w:r/>
            <w:r>
              <w:rPr>
                <w:rFonts w:ascii="Calibri" w:hAnsi="Calibri"/>
                <w:sz w:val="20"/>
              </w:rPr>
              <w:t>V₂O₅ MIE (10–30 mJ)</w:t>
            </w:r>
          </w:p>
        </w:tc>
        <w:tc>
          <w:tcPr>
            <w:tcW w:type="dxa" w:w="1814"/>
          </w:tcPr>
          <w:p>
            <w:r/>
            <w:r>
              <w:rPr>
                <w:rFonts w:ascii="Calibri" w:hAnsi="Calibri"/>
                <w:sz w:val="20"/>
              </w:rPr>
              <w:t>Metaaloxiden: over het algemeen niet-gevoelig. Literatuur range.</w:t>
            </w:r>
          </w:p>
        </w:tc>
        <w:tc>
          <w:tcPr>
            <w:tcW w:type="dxa" w:w="1814"/>
          </w:tcPr>
          <w:p>
            <w:r/>
            <w:r>
              <w:rPr>
                <w:rFonts w:ascii="Calibri" w:hAnsi="Calibri"/>
                <w:sz w:val="20"/>
              </w:rPr>
              <w:t>Literatuur</w:t>
            </w:r>
          </w:p>
        </w:tc>
        <w:tc>
          <w:tcPr>
            <w:tcW w:type="dxa" w:w="1814"/>
          </w:tcPr>
          <w:p>
            <w:r/>
            <w:r>
              <w:rPr>
                <w:rFonts w:ascii="Calibri" w:hAnsi="Calibri"/>
                <w:sz w:val="20"/>
              </w:rPr>
              <w:t>⚠️ Te verifiëren via test</w:t>
            </w:r>
          </w:p>
        </w:tc>
      </w:tr>
      <w:tr>
        <w:tc>
          <w:tcPr>
            <w:tcW w:type="dxa" w:w="1814"/>
          </w:tcPr>
          <w:p>
            <w:r/>
            <w:r>
              <w:rPr>
                <w:rFonts w:ascii="Calibri" w:hAnsi="Calibri"/>
                <w:sz w:val="20"/>
              </w:rPr>
              <w:t>4</w:t>
            </w:r>
          </w:p>
        </w:tc>
        <w:tc>
          <w:tcPr>
            <w:tcW w:type="dxa" w:w="1814"/>
          </w:tcPr>
          <w:p>
            <w:r/>
            <w:r>
              <w:rPr>
                <w:rFonts w:ascii="Calibri" w:hAnsi="Calibri"/>
                <w:sz w:val="20"/>
              </w:rPr>
              <w:t>V₂O₅ MIT-wolk (&gt;500°C)</w:t>
            </w:r>
          </w:p>
        </w:tc>
        <w:tc>
          <w:tcPr>
            <w:tcW w:type="dxa" w:w="1814"/>
          </w:tcPr>
          <w:p>
            <w:r/>
            <w:r>
              <w:rPr>
                <w:rFonts w:ascii="Calibri" w:hAnsi="Calibri"/>
                <w:sz w:val="20"/>
              </w:rPr>
              <w:t>Consistent met smeltpunt 690°C en thermische stabiliteit.</w:t>
            </w:r>
          </w:p>
        </w:tc>
        <w:tc>
          <w:tcPr>
            <w:tcW w:type="dxa" w:w="1814"/>
          </w:tcPr>
          <w:p>
            <w:r/>
            <w:r>
              <w:rPr>
                <w:rFonts w:ascii="Calibri" w:hAnsi="Calibri"/>
                <w:sz w:val="20"/>
              </w:rPr>
              <w:t>SDB V₂O₅</w:t>
            </w:r>
          </w:p>
        </w:tc>
        <w:tc>
          <w:tcPr>
            <w:tcW w:type="dxa" w:w="1814"/>
          </w:tcPr>
          <w:p>
            <w:r/>
            <w:r>
              <w:rPr>
                <w:rFonts w:ascii="Calibri" w:hAnsi="Calibri"/>
                <w:sz w:val="20"/>
              </w:rPr>
              <w:t>⚠️ Te verifiëren via test</w:t>
            </w:r>
          </w:p>
        </w:tc>
      </w:tr>
      <w:tr>
        <w:tc>
          <w:tcPr>
            <w:tcW w:type="dxa" w:w="1814"/>
          </w:tcPr>
          <w:p>
            <w:r/>
            <w:r>
              <w:rPr>
                <w:rFonts w:ascii="Calibri" w:hAnsi="Calibri"/>
                <w:sz w:val="20"/>
              </w:rPr>
              <w:t>5</w:t>
            </w:r>
          </w:p>
        </w:tc>
        <w:tc>
          <w:tcPr>
            <w:tcW w:type="dxa" w:w="1814"/>
          </w:tcPr>
          <w:p>
            <w:r/>
            <w:r>
              <w:rPr>
                <w:rFonts w:ascii="Calibri" w:hAnsi="Calibri"/>
                <w:sz w:val="20"/>
              </w:rPr>
              <w:t>CaO niet-explosief</w:t>
            </w:r>
          </w:p>
        </w:tc>
        <w:tc>
          <w:tcPr>
            <w:tcW w:type="dxa" w:w="1814"/>
          </w:tcPr>
          <w:p>
            <w:r/>
            <w:r>
              <w:rPr>
                <w:rFonts w:ascii="Calibri" w:hAnsi="Calibri"/>
                <w:sz w:val="20"/>
              </w:rPr>
              <w:t>Calciumoxide is een niet-brandbaar metaaloxide. Geen explosieparameters.</w:t>
            </w:r>
          </w:p>
        </w:tc>
        <w:tc>
          <w:tcPr>
            <w:tcW w:type="dxa" w:w="1814"/>
          </w:tcPr>
          <w:p>
            <w:r/>
            <w:r>
              <w:rPr>
                <w:rFonts w:ascii="Calibri" w:hAnsi="Calibri"/>
                <w:sz w:val="20"/>
              </w:rPr>
              <w:t>Literatuur</w:t>
            </w:r>
          </w:p>
        </w:tc>
        <w:tc>
          <w:tcPr>
            <w:tcW w:type="dxa" w:w="1814"/>
          </w:tcPr>
          <w:p>
            <w:r/>
            <w:r>
              <w:rPr>
                <w:rFonts w:ascii="Calibri" w:hAnsi="Calibri"/>
                <w:sz w:val="20"/>
              </w:rPr>
              <w:t>✅ Gevalideerd</w:t>
            </w:r>
          </w:p>
        </w:tc>
      </w:tr>
      <w:tr>
        <w:tc>
          <w:tcPr>
            <w:tcW w:type="dxa" w:w="1814"/>
          </w:tcPr>
          <w:p>
            <w:r/>
            <w:r>
              <w:rPr>
                <w:rFonts w:ascii="Calibri" w:hAnsi="Calibri"/>
                <w:sz w:val="20"/>
              </w:rPr>
              <w:t>6</w:t>
            </w:r>
          </w:p>
        </w:tc>
        <w:tc>
          <w:tcPr>
            <w:tcW w:type="dxa" w:w="1814"/>
          </w:tcPr>
          <w:p>
            <w:r/>
            <w:r>
              <w:rPr>
                <w:rFonts w:ascii="Calibri" w:hAnsi="Calibri"/>
                <w:sz w:val="20"/>
              </w:rPr>
              <w:t>Staalaslakken TBD</w:t>
            </w:r>
          </w:p>
        </w:tc>
        <w:tc>
          <w:tcPr>
            <w:tcW w:type="dxa" w:w="1814"/>
          </w:tcPr>
          <w:p>
            <w:r/>
            <w:r>
              <w:rPr>
                <w:rFonts w:ascii="Calibri" w:hAnsi="Calibri"/>
                <w:sz w:val="20"/>
              </w:rPr>
              <w:t>Samenstelling variabel. Test vereist op representatief monster.</w:t>
            </w:r>
          </w:p>
        </w:tc>
        <w:tc>
          <w:tcPr>
            <w:tcW w:type="dxa" w:w="1814"/>
          </w:tcPr>
          <w:p>
            <w:r/>
            <w:r>
              <w:rPr>
                <w:rFonts w:ascii="Calibri" w:hAnsi="Calibri"/>
                <w:sz w:val="20"/>
              </w:rPr>
              <w:t>Meta-Dossier [7]</w:t>
            </w:r>
          </w:p>
        </w:tc>
        <w:tc>
          <w:tcPr>
            <w:tcW w:type="dxa" w:w="1814"/>
          </w:tcPr>
          <w:p>
            <w:r/>
            <w:r>
              <w:rPr>
                <w:rFonts w:ascii="Calibri" w:hAnsi="Calibri"/>
                <w:sz w:val="20"/>
              </w:rPr>
              <w:t>⚠️ Monster vereist</w:t>
            </w:r>
          </w:p>
        </w:tc>
      </w:tr>
    </w:tbl>
    <w:p>
      <w:pPr>
        <w:pStyle w:val="Heading2"/>
      </w:pPr>
      <w:r>
        <w:rPr>
          <w:color w:val="003366"/>
        </w:rPr>
        <w:t>13.2 Verificatie Zone-indeling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1814"/>
            <w:shd w:fill="003366"/>
          </w:tcPr>
          <w:p>
            <w:pPr>
              <w:jc w:val="left"/>
            </w:pPr>
            <w:r/>
            <w:r>
              <w:rPr>
                <w:rFonts w:ascii="Calibri" w:hAnsi="Calibri"/>
                <w:b/>
                <w:color w:val="FFFFFF"/>
                <w:sz w:val="20"/>
              </w:rPr>
              <w:t>#</w:t>
            </w:r>
          </w:p>
        </w:tc>
        <w:tc>
          <w:tcPr>
            <w:tcW w:type="dxa" w:w="1814"/>
            <w:shd w:fill="003366"/>
          </w:tcPr>
          <w:p>
            <w:pPr>
              <w:jc w:val="left"/>
            </w:pPr>
            <w:r/>
            <w:r>
              <w:rPr>
                <w:rFonts w:ascii="Calibri" w:hAnsi="Calibri"/>
                <w:b/>
                <w:color w:val="FFFFFF"/>
                <w:sz w:val="20"/>
              </w:rPr>
              <w:t>Zone</w:t>
            </w:r>
          </w:p>
        </w:tc>
        <w:tc>
          <w:tcPr>
            <w:tcW w:type="dxa" w:w="1814"/>
            <w:shd w:fill="003366"/>
          </w:tcPr>
          <w:p>
            <w:pPr>
              <w:jc w:val="left"/>
            </w:pPr>
            <w:r/>
            <w:r>
              <w:rPr>
                <w:rFonts w:ascii="Calibri" w:hAnsi="Calibri"/>
                <w:b/>
                <w:color w:val="FFFFFF"/>
                <w:sz w:val="20"/>
              </w:rPr>
              <w:t>Controle</w:t>
            </w:r>
          </w:p>
        </w:tc>
        <w:tc>
          <w:tcPr>
            <w:tcW w:type="dxa" w:w="1814"/>
            <w:shd w:fill="003366"/>
          </w:tcPr>
          <w:p>
            <w:pPr>
              <w:jc w:val="left"/>
            </w:pPr>
            <w:r/>
            <w:r>
              <w:rPr>
                <w:rFonts w:ascii="Calibri" w:hAnsi="Calibri"/>
                <w:b/>
                <w:color w:val="FFFFFF"/>
                <w:sz w:val="20"/>
              </w:rPr>
              <w:t>Norm</w:t>
            </w:r>
          </w:p>
        </w:tc>
        <w:tc>
          <w:tcPr>
            <w:tcW w:type="dxa" w:w="1814"/>
            <w:shd w:fill="003366"/>
          </w:tcPr>
          <w:p>
            <w:pPr>
              <w:jc w:val="left"/>
            </w:pPr>
            <w:r/>
            <w:r>
              <w:rPr>
                <w:rFonts w:ascii="Calibri" w:hAnsi="Calibri"/>
                <w:b/>
                <w:color w:val="FFFFFF"/>
                <w:sz w:val="20"/>
              </w:rPr>
              <w:t>Status</w:t>
            </w:r>
          </w:p>
        </w:tc>
      </w:tr>
      <w:tr>
        <w:tc>
          <w:tcPr>
            <w:tcW w:type="dxa" w:w="1814"/>
          </w:tcPr>
          <w:p>
            <w:r/>
            <w:r>
              <w:rPr>
                <w:rFonts w:ascii="Calibri" w:hAnsi="Calibri"/>
                <w:sz w:val="20"/>
              </w:rPr>
              <w:t>1</w:t>
            </w:r>
          </w:p>
        </w:tc>
        <w:tc>
          <w:tcPr>
            <w:tcW w:type="dxa" w:w="1814"/>
          </w:tcPr>
          <w:p>
            <w:r/>
            <w:r>
              <w:rPr>
                <w:rFonts w:ascii="Calibri" w:hAnsi="Calibri"/>
                <w:sz w:val="20"/>
              </w:rPr>
              <w:t>Zone 20 (droog- en calcinatie-oven)</w:t>
            </w:r>
          </w:p>
        </w:tc>
        <w:tc>
          <w:tcPr>
            <w:tcW w:type="dxa" w:w="1814"/>
          </w:tcPr>
          <w:p>
            <w:r/>
            <w:r>
              <w:rPr>
                <w:rFonts w:ascii="Calibri" w:hAnsi="Calibri"/>
                <w:sz w:val="20"/>
              </w:rPr>
              <w:t>Continu stofwolk intern — classificatie correct conform NEN-EN 60079-10-2 tabel 1.</w:t>
            </w:r>
          </w:p>
        </w:tc>
        <w:tc>
          <w:tcPr>
            <w:tcW w:type="dxa" w:w="1814"/>
          </w:tcPr>
          <w:p>
            <w:r/>
            <w:r>
              <w:rPr>
                <w:rFonts w:ascii="Calibri" w:hAnsi="Calibri"/>
                <w:sz w:val="20"/>
              </w:rPr>
              <w:t>NEN-EN 60079-10-2 [3]</w:t>
            </w:r>
          </w:p>
        </w:tc>
        <w:tc>
          <w:tcPr>
            <w:tcW w:type="dxa" w:w="1814"/>
          </w:tcPr>
          <w:p>
            <w:r/>
            <w:r>
              <w:rPr>
                <w:rFonts w:ascii="Calibri" w:hAnsi="Calibri"/>
                <w:sz w:val="20"/>
              </w:rPr>
              <w:t>✅ Gevalideerd</w:t>
            </w:r>
          </w:p>
        </w:tc>
      </w:tr>
      <w:tr>
        <w:tc>
          <w:tcPr>
            <w:tcW w:type="dxa" w:w="1814"/>
          </w:tcPr>
          <w:p>
            <w:r/>
            <w:r>
              <w:rPr>
                <w:rFonts w:ascii="Calibri" w:hAnsi="Calibri"/>
                <w:sz w:val="20"/>
              </w:rPr>
              <w:t>2</w:t>
            </w:r>
          </w:p>
        </w:tc>
        <w:tc>
          <w:tcPr>
            <w:tcW w:type="dxa" w:w="1814"/>
          </w:tcPr>
          <w:p>
            <w:r/>
            <w:r>
              <w:rPr>
                <w:rFonts w:ascii="Calibri" w:hAnsi="Calibri"/>
                <w:sz w:val="20"/>
              </w:rPr>
              <w:t>Zone 21 (verpakkingslijn vulpunt)</w:t>
            </w:r>
          </w:p>
        </w:tc>
        <w:tc>
          <w:tcPr>
            <w:tcW w:type="dxa" w:w="1814"/>
          </w:tcPr>
          <w:p>
            <w:r/>
            <w:r>
              <w:rPr>
                <w:rFonts w:ascii="Calibri" w:hAnsi="Calibri"/>
                <w:sz w:val="20"/>
              </w:rPr>
              <w:t>Regelmatig stof bij vullen — frequentie 10-1000 uur/jaar correct.</w:t>
            </w:r>
          </w:p>
        </w:tc>
        <w:tc>
          <w:tcPr>
            <w:tcW w:type="dxa" w:w="1814"/>
          </w:tcPr>
          <w:p>
            <w:r/>
            <w:r>
              <w:rPr>
                <w:rFonts w:ascii="Calibri" w:hAnsi="Calibri"/>
                <w:sz w:val="20"/>
              </w:rPr>
              <w:t>NEN-EN 60079-10-2 [3]</w:t>
            </w:r>
          </w:p>
        </w:tc>
        <w:tc>
          <w:tcPr>
            <w:tcW w:type="dxa" w:w="1814"/>
          </w:tcPr>
          <w:p>
            <w:r/>
            <w:r>
              <w:rPr>
                <w:rFonts w:ascii="Calibri" w:hAnsi="Calibri"/>
                <w:sz w:val="20"/>
              </w:rPr>
              <w:t>✅ Gevalideerd</w:t>
            </w:r>
          </w:p>
        </w:tc>
      </w:tr>
      <w:tr>
        <w:tc>
          <w:tcPr>
            <w:tcW w:type="dxa" w:w="1814"/>
          </w:tcPr>
          <w:p>
            <w:r/>
            <w:r>
              <w:rPr>
                <w:rFonts w:ascii="Calibri" w:hAnsi="Calibri"/>
                <w:sz w:val="20"/>
              </w:rPr>
              <w:t>3</w:t>
            </w:r>
          </w:p>
        </w:tc>
        <w:tc>
          <w:tcPr>
            <w:tcW w:type="dxa" w:w="1814"/>
          </w:tcPr>
          <w:p>
            <w:r/>
            <w:r>
              <w:rPr>
                <w:rFonts w:ascii="Calibri" w:hAnsi="Calibri"/>
                <w:sz w:val="20"/>
              </w:rPr>
              <w:t>Zone 22 (omgeving zones)</w:t>
            </w:r>
          </w:p>
        </w:tc>
        <w:tc>
          <w:tcPr>
            <w:tcW w:type="dxa" w:w="1814"/>
          </w:tcPr>
          <w:p>
            <w:r/>
            <w:r>
              <w:rPr>
                <w:rFonts w:ascii="Calibri" w:hAnsi="Calibri"/>
                <w:sz w:val="20"/>
              </w:rPr>
              <w:t>Zelden/kortdurend fugitief stof — classificatie correct.</w:t>
            </w:r>
          </w:p>
        </w:tc>
        <w:tc>
          <w:tcPr>
            <w:tcW w:type="dxa" w:w="1814"/>
          </w:tcPr>
          <w:p>
            <w:r/>
            <w:r>
              <w:rPr>
                <w:rFonts w:ascii="Calibri" w:hAnsi="Calibri"/>
                <w:sz w:val="20"/>
              </w:rPr>
              <w:t>NEN-EN 60079-10-2 [3]</w:t>
            </w:r>
          </w:p>
        </w:tc>
        <w:tc>
          <w:tcPr>
            <w:tcW w:type="dxa" w:w="1814"/>
          </w:tcPr>
          <w:p>
            <w:r/>
            <w:r>
              <w:rPr>
                <w:rFonts w:ascii="Calibri" w:hAnsi="Calibri"/>
                <w:sz w:val="20"/>
              </w:rPr>
              <w:t>✅ Gevalideerd</w:t>
            </w:r>
          </w:p>
        </w:tc>
      </w:tr>
      <w:tr>
        <w:tc>
          <w:tcPr>
            <w:tcW w:type="dxa" w:w="1814"/>
          </w:tcPr>
          <w:p>
            <w:r/>
            <w:r>
              <w:rPr>
                <w:rFonts w:ascii="Calibri" w:hAnsi="Calibri"/>
                <w:sz w:val="20"/>
              </w:rPr>
              <w:t>4</w:t>
            </w:r>
          </w:p>
        </w:tc>
        <w:tc>
          <w:tcPr>
            <w:tcW w:type="dxa" w:w="1814"/>
          </w:tcPr>
          <w:p>
            <w:r/>
            <w:r>
              <w:rPr>
                <w:rFonts w:ascii="Calibri" w:hAnsi="Calibri"/>
                <w:sz w:val="20"/>
              </w:rPr>
              <w:t>Ontbrekende zones (uitloging, filtratie)</w:t>
            </w:r>
          </w:p>
        </w:tc>
        <w:tc>
          <w:tcPr>
            <w:tcW w:type="dxa" w:w="1814"/>
          </w:tcPr>
          <w:p>
            <w:r/>
            <w:r>
              <w:rPr>
                <w:rFonts w:ascii="Calibri" w:hAnsi="Calibri"/>
                <w:sz w:val="20"/>
              </w:rPr>
              <w:t>Natte processen — geen stofexplosierisico. Correct niet-gezoneerd.</w:t>
            </w:r>
          </w:p>
        </w:tc>
        <w:tc>
          <w:tcPr>
            <w:tcW w:type="dxa" w:w="1814"/>
          </w:tcPr>
          <w:p>
            <w:r/>
            <w:r>
              <w:rPr>
                <w:rFonts w:ascii="Calibri" w:hAnsi="Calibri"/>
                <w:sz w:val="20"/>
              </w:rPr>
              <w:t>Procesbeschrijving [7]</w:t>
            </w:r>
          </w:p>
        </w:tc>
        <w:tc>
          <w:tcPr>
            <w:tcW w:type="dxa" w:w="1814"/>
          </w:tcPr>
          <w:p>
            <w:r/>
            <w:r>
              <w:rPr>
                <w:rFonts w:ascii="Calibri" w:hAnsi="Calibri"/>
                <w:sz w:val="20"/>
              </w:rPr>
              <w:t>✅ Gevalideerd</w:t>
            </w:r>
          </w:p>
        </w:tc>
      </w:tr>
    </w:tbl>
    <w:p>
      <w:pPr>
        <w:pStyle w:val="Heading2"/>
      </w:pPr>
      <w:r>
        <w:rPr>
          <w:color w:val="003366"/>
        </w:rPr>
        <w:t>13.3 Verificatie Wettelijk Kader</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left"/>
            </w:pPr>
            <w:r/>
            <w:r>
              <w:rPr>
                <w:rFonts w:ascii="Calibri" w:hAnsi="Calibri"/>
                <w:b/>
                <w:color w:val="FFFFFF"/>
                <w:sz w:val="20"/>
              </w:rPr>
              <w:t>#</w:t>
            </w:r>
          </w:p>
        </w:tc>
        <w:tc>
          <w:tcPr>
            <w:tcW w:type="dxa" w:w="2268"/>
            <w:shd w:fill="003366"/>
          </w:tcPr>
          <w:p>
            <w:pPr>
              <w:jc w:val="left"/>
            </w:pPr>
            <w:r/>
            <w:r>
              <w:rPr>
                <w:rFonts w:ascii="Calibri" w:hAnsi="Calibri"/>
                <w:b/>
                <w:color w:val="FFFFFF"/>
                <w:sz w:val="20"/>
              </w:rPr>
              <w:t>Aspect</w:t>
            </w:r>
          </w:p>
        </w:tc>
        <w:tc>
          <w:tcPr>
            <w:tcW w:type="dxa" w:w="2268"/>
            <w:shd w:fill="003366"/>
          </w:tcPr>
          <w:p>
            <w:pPr>
              <w:jc w:val="left"/>
            </w:pPr>
            <w:r/>
            <w:r>
              <w:rPr>
                <w:rFonts w:ascii="Calibri" w:hAnsi="Calibri"/>
                <w:b/>
                <w:color w:val="FFFFFF"/>
                <w:sz w:val="20"/>
              </w:rPr>
              <w:t>Controle</w:t>
            </w:r>
          </w:p>
        </w:tc>
        <w:tc>
          <w:tcPr>
            <w:tcW w:type="dxa" w:w="2268"/>
            <w:shd w:fill="003366"/>
          </w:tcPr>
          <w:p>
            <w:pPr>
              <w:jc w:val="left"/>
            </w:pPr>
            <w:r/>
            <w:r>
              <w:rPr>
                <w:rFonts w:ascii="Calibri" w:hAnsi="Calibri"/>
                <w:b/>
                <w:color w:val="FFFFFF"/>
                <w:sz w:val="20"/>
              </w:rPr>
              <w:t>Status</w:t>
            </w:r>
          </w:p>
        </w:tc>
      </w:tr>
      <w:tr>
        <w:tc>
          <w:tcPr>
            <w:tcW w:type="dxa" w:w="2268"/>
          </w:tcPr>
          <w:p>
            <w:r/>
            <w:r>
              <w:rPr>
                <w:rFonts w:ascii="Calibri" w:hAnsi="Calibri"/>
                <w:sz w:val="20"/>
              </w:rPr>
              <w:t>1</w:t>
            </w:r>
          </w:p>
        </w:tc>
        <w:tc>
          <w:tcPr>
            <w:tcW w:type="dxa" w:w="2268"/>
          </w:tcPr>
          <w:p>
            <w:r/>
            <w:r>
              <w:rPr>
                <w:rFonts w:ascii="Calibri" w:hAnsi="Calibri"/>
                <w:sz w:val="20"/>
              </w:rPr>
              <w:t>ATEX 137 implementatie</w:t>
            </w:r>
          </w:p>
        </w:tc>
        <w:tc>
          <w:tcPr>
            <w:tcW w:type="dxa" w:w="2268"/>
          </w:tcPr>
          <w:p>
            <w:r/>
            <w:r>
              <w:rPr>
                <w:rFonts w:ascii="Calibri" w:hAnsi="Calibri"/>
                <w:sz w:val="20"/>
              </w:rPr>
              <w:t>Verwezen in §4 — zone-indeling conform artikel 4, 7</w:t>
            </w:r>
          </w:p>
        </w:tc>
        <w:tc>
          <w:tcPr>
            <w:tcW w:type="dxa" w:w="2268"/>
          </w:tcPr>
          <w:p>
            <w:r/>
            <w:r>
              <w:rPr>
                <w:rFonts w:ascii="Calibri" w:hAnsi="Calibri"/>
                <w:sz w:val="20"/>
              </w:rPr>
              <w:t>✅ Gevalideerd</w:t>
            </w:r>
          </w:p>
        </w:tc>
      </w:tr>
      <w:tr>
        <w:tc>
          <w:tcPr>
            <w:tcW w:type="dxa" w:w="2268"/>
          </w:tcPr>
          <w:p>
            <w:r/>
            <w:r>
              <w:rPr>
                <w:rFonts w:ascii="Calibri" w:hAnsi="Calibri"/>
                <w:sz w:val="20"/>
              </w:rPr>
              <w:t>2</w:t>
            </w:r>
          </w:p>
        </w:tc>
        <w:tc>
          <w:tcPr>
            <w:tcW w:type="dxa" w:w="2268"/>
          </w:tcPr>
          <w:p>
            <w:r/>
            <w:r>
              <w:rPr>
                <w:rFonts w:ascii="Calibri" w:hAnsi="Calibri"/>
                <w:sz w:val="20"/>
              </w:rPr>
              <w:t>BRZO 2015 integratie</w:t>
            </w:r>
          </w:p>
        </w:tc>
        <w:tc>
          <w:tcPr>
            <w:tcW w:type="dxa" w:w="2268"/>
          </w:tcPr>
          <w:p>
            <w:r/>
            <w:r>
              <w:rPr>
                <w:rFonts w:ascii="Calibri" w:hAnsi="Calibri"/>
                <w:sz w:val="20"/>
              </w:rPr>
              <w:t>Phoenix Metals = BRZO inrichting. EBD = onderdeel VRIB.</w:t>
            </w:r>
          </w:p>
        </w:tc>
        <w:tc>
          <w:tcPr>
            <w:tcW w:type="dxa" w:w="2268"/>
          </w:tcPr>
          <w:p>
            <w:r/>
            <w:r>
              <w:rPr>
                <w:rFonts w:ascii="Calibri" w:hAnsi="Calibri"/>
                <w:sz w:val="20"/>
              </w:rPr>
              <w:t>✅ Gevalideerd</w:t>
            </w:r>
          </w:p>
        </w:tc>
      </w:tr>
      <w:tr>
        <w:tc>
          <w:tcPr>
            <w:tcW w:type="dxa" w:w="2268"/>
          </w:tcPr>
          <w:p>
            <w:r/>
            <w:r>
              <w:rPr>
                <w:rFonts w:ascii="Calibri" w:hAnsi="Calibri"/>
                <w:sz w:val="20"/>
              </w:rPr>
              <w:t>3</w:t>
            </w:r>
          </w:p>
        </w:tc>
        <w:tc>
          <w:tcPr>
            <w:tcW w:type="dxa" w:w="2268"/>
          </w:tcPr>
          <w:p>
            <w:r/>
            <w:r>
              <w:rPr>
                <w:rFonts w:ascii="Calibri" w:hAnsi="Calibri"/>
                <w:sz w:val="20"/>
              </w:rPr>
              <w:t>NEN-EN normen actueel</w:t>
            </w:r>
          </w:p>
        </w:tc>
        <w:tc>
          <w:tcPr>
            <w:tcW w:type="dxa" w:w="2268"/>
          </w:tcPr>
          <w:p>
            <w:r/>
            <w:r>
              <w:rPr>
                <w:rFonts w:ascii="Calibri" w:hAnsi="Calibri"/>
                <w:sz w:val="20"/>
              </w:rPr>
              <w:t>60079-10-2, 1127-1, 14491 — actueel bij publicatie</w:t>
            </w:r>
          </w:p>
        </w:tc>
        <w:tc>
          <w:tcPr>
            <w:tcW w:type="dxa" w:w="2268"/>
          </w:tcPr>
          <w:p>
            <w:r/>
            <w:r>
              <w:rPr>
                <w:rFonts w:ascii="Calibri" w:hAnsi="Calibri"/>
                <w:sz w:val="20"/>
              </w:rPr>
              <w:t>✅ Gevalideerd</w:t>
            </w:r>
          </w:p>
        </w:tc>
      </w:tr>
    </w:tbl>
    <w:p/>
    <w:p>
      <w:r>
        <w:rPr>
          <w:b/>
          <w:sz w:val="22"/>
        </w:rPr>
        <w:t>TierVerify Samenvatting</w:t>
      </w:r>
    </w:p>
    <w:p>
      <w:r>
        <w:t>Document PM_VBS02_06_Stofexplosie_ATEX_v1.0 is gecontroleerd op feitelijkheid, consistentie met het Meta-Dossier [7], en naleving van MASTER_STYLEGUIDE §1-§13. Stofkarakteristieken zijn gebaseerd op literatuurwaarden en vereisen validatie via stofexplosietesten (actie 1-3 in implementatieplan). Zone-indeling is conform NEN-EN 60079-10-2 [3].</w:t>
      </w:r>
    </w:p>
    <w:p>
      <w:pPr>
        <w:jc w:val="right"/>
      </w:pPr>
      <w:r>
        <w:rPr>
          <w:i/>
          <w:sz w:val="20"/>
        </w:rPr>
        <w:t>HQ_01 HSEQ Specialist — 29 april 2026</w:t>
      </w:r>
    </w:p>
    <w:sectPr w:rsidR="00FC693F" w:rsidRPr="0006063C" w:rsidSect="00034616">
      <w:footerReference w:type="default" r:id="rId10"/>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