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RI&amp;E Actualisatie</w:t>
      </w:r>
    </w:p>
    <w:p>
      <w:pPr>
        <w:jc w:val="center"/>
      </w:pPr>
      <w:r>
        <w:rPr>
          <w:rFonts w:ascii="Calibri" w:hAnsi="Calibri"/>
          <w:b/>
          <w:color w:val="003366"/>
          <w:sz w:val="32"/>
        </w:rPr>
        <w:t>VBS Element 2 — Document #5</w:t>
      </w:r>
    </w:p>
    <w:p>
      <w:r>
        <w:rPr>
          <w:rFonts w:ascii="Calibri" w:hAnsi="Calibri"/>
          <w:b w:val="0"/>
          <w:sz w:val="22"/>
        </w:rPr>
      </w:r>
    </w:p>
    <w:p>
      <w:pPr>
        <w:jc w:val="center"/>
      </w:pPr>
      <w:r>
        <w:rPr>
          <w:rFonts w:ascii="Calibri" w:hAnsi="Calibri"/>
          <w:b/>
          <w:sz w:val="28"/>
        </w:rPr>
        <w:t>Phoenix Metals IJmuiden — Demo/Pilot Plant</w:t>
      </w:r>
    </w:p>
    <w:p>
      <w:r>
        <w:rPr>
          <w:rFonts w:ascii="Calibri" w:hAnsi="Calibri"/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2026-PM-VBS-Element2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RI&amp;E Actualisatie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Documentbeheersing</w:t>
      </w:r>
    </w:p>
    <w:p>
      <w:pPr>
        <w:pStyle w:val="Heading2"/>
      </w:pPr>
      <w:r>
        <w:rPr>
          <w:color w:val="003366"/>
        </w:rPr>
        <w:t>1.1 Versiebeheer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pPr/>
            <w:r>
              <w:rPr>
                <w:sz w:val="18"/>
              </w:rPr>
              <w:t>1.0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2026-04-29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HQ_04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Initiële release RI&amp;E Actualisatie</w:t>
            </w:r>
          </w:p>
        </w:tc>
      </w:tr>
    </w:tbl>
    <w:p>
      <w:pPr>
        <w:pStyle w:val="Heading2"/>
      </w:pPr>
      <w:r>
        <w:rPr>
          <w:color w:val="003366"/>
        </w:rPr>
        <w:t>1.2 Distributielijst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Distributie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Directie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Jorick van Gemert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Digitaal + Print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HSEQ Manager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TBD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Digitaal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Plant Manager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TBD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Digitaal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Procesingenieur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TBD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Digitaal</w:t>
            </w:r>
          </w:p>
        </w:tc>
      </w:tr>
    </w:tbl>
    <w:p>
      <w:pPr>
        <w:pStyle w:val="Heading2"/>
      </w:pPr>
      <w:r>
        <w:rPr>
          <w:color w:val="003366"/>
        </w:rPr>
        <w:t>1.3 Autorisatie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160"/>
          </w:tcPr>
          <w:p>
            <w:pPr/>
            <w:r>
              <w:rPr>
                <w:sz w:val="18"/>
              </w:rPr>
              <w:t>Opsteller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HQ_04 Technical Writer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2026-04-29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pPr/>
            <w:r>
              <w:rPr>
                <w:sz w:val="18"/>
              </w:rPr>
              <w:t>Reviewer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Kas (Director of Operations)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2026-04-29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pPr/>
            <w:r>
              <w:rPr>
                <w:sz w:val="18"/>
              </w:rPr>
              <w:t>Goedkeuring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  <w:t>Jorick van Gemert</w:t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pPr/>
            <w:r>
              <w:rPr>
                <w:sz w:val="18"/>
              </w:rPr>
            </w:r>
          </w:p>
        </w:tc>
      </w:tr>
    </w:tbl>
    <w:p>
      <w:pPr>
        <w:pStyle w:val="Heading1"/>
      </w:pPr>
      <w:r>
        <w:rPr>
          <w:color w:val="003366"/>
        </w:rPr>
        <w:t>2. Doel &amp; Scope</w:t>
      </w:r>
    </w:p>
    <w:p>
      <w:pPr>
        <w:pStyle w:val="Heading2"/>
      </w:pPr>
      <w:r>
        <w:rPr>
          <w:color w:val="003366"/>
        </w:rPr>
        <w:t>2.1 Doel</w:t>
      </w:r>
    </w:p>
    <w:p>
      <w:r>
        <w:t>Dit document actualiseert de bestaande Risico-Inventarisatie &amp; -Evaluatie (RI&amp;E) van Phoenix Metals IJmuiden. De oorspronkelijke RI&amp;E dateert uit 2021 (Verdiepende RI&amp;E Gevaarlijke Stoffen V3.0) en was primair gericht op opslag van gevaarlijke stoffen en laboratoriumwerkzaamheden [1]. De actualisatie integreert nieuwe risicodomeinen die voortvloeien uit de transitie naar een demo/pilot plant voor vanadiumproductie uit staalslakken [2].</w:t>
      </w:r>
    </w:p>
    <w:p>
      <w:pPr>
        <w:pStyle w:val="Heading2"/>
      </w:pPr>
      <w:r>
        <w:rPr>
          <w:color w:val="003366"/>
        </w:rPr>
        <w:t>2.2 Scope</w:t>
      </w:r>
    </w:p>
    <w:p>
      <w:r>
        <w:t>De scope omvat alle activiteiten op de locatie Phoenix Metals IJmuiden, met nadruk op:</w:t>
      </w:r>
    </w:p>
    <w:p>
      <w:pPr>
        <w:pStyle w:val="ListBullet"/>
      </w:pPr>
      <w:r>
        <w:t>Procesinstallatie voor vanadium recovery (roosten, uitloging, zuivering, drogen)</w:t>
      </w:r>
    </w:p>
    <w:p>
      <w:pPr>
        <w:pStyle w:val="ListBullet"/>
      </w:pPr>
      <w:r>
        <w:t>Opslag en verwerking van gevaarlijke stoffen conform PGS 15 [3]</w:t>
      </w:r>
    </w:p>
    <w:p>
      <w:pPr>
        <w:pStyle w:val="ListBullet"/>
      </w:pPr>
      <w:r>
        <w:t>Seveso/BRZO-verplichtingen (lagere dresser) [2]</w:t>
      </w:r>
    </w:p>
    <w:p>
      <w:pPr>
        <w:pStyle w:val="ListBullet"/>
      </w:pPr>
      <w:r>
        <w:t>Nieuwe risicodomeinen: procesveiligheid, stofexplosie, ATEX, straling (NORM), carcinogene blootstelling</w:t>
      </w:r>
    </w:p>
    <w:p>
      <w:pPr>
        <w:pStyle w:val="Heading1"/>
      </w:pPr>
      <w:r>
        <w:rPr>
          <w:color w:val="003366"/>
        </w:rPr>
        <w:t>3. Achtergrond</w:t>
      </w:r>
    </w:p>
    <w:p>
      <w:pPr>
        <w:pStyle w:val="Heading2"/>
      </w:pPr>
      <w:r>
        <w:rPr>
          <w:color w:val="003366"/>
        </w:rPr>
        <w:t>3.1 Bestaande RI&amp;E (2021)</w:t>
      </w:r>
    </w:p>
    <w:p>
      <w:r>
        <w:t>De RI&amp;E Verdiepend Gevaarlijke Stoffen V3.0 (2021) dekte de volgende domeinen [1]:</w:t>
      </w:r>
    </w:p>
    <w:p>
      <w:pPr>
        <w:pStyle w:val="ListBullet"/>
      </w:pPr>
      <w:r>
        <w:t>Opslag gevaarlijke stoffen in laboratorium (NaOH 50%, H₂SO₄ 25-75%, Al₂(SO₄)₃, CaO)</w:t>
      </w:r>
    </w:p>
    <w:p>
      <w:pPr>
        <w:pStyle w:val="ListBullet"/>
      </w:pPr>
      <w:r>
        <w:t>TRA Gevaarlijke Stoffen voor laboratoriumwerkzaamheden</w:t>
      </w:r>
    </w:p>
    <w:p>
      <w:pPr>
        <w:pStyle w:val="ListBullet"/>
      </w:pPr>
      <w:r>
        <w:t>Arbobeleid (AI-01) en KAM-managementsysteem</w:t>
      </w:r>
    </w:p>
    <w:p>
      <w:pPr>
        <w:pStyle w:val="Heading2"/>
      </w:pPr>
      <w:r>
        <w:rPr>
          <w:color w:val="003366"/>
        </w:rPr>
        <w:t>3.2 Identificeerde Lacunes</w:t>
      </w:r>
    </w:p>
    <w:p>
      <w:r>
        <w:t>De transitie van laboratoriumschaal naar demo/pilot plant introduceert risico's die in de bestaande RI&amp;E niet zijn afgedekt [2]:</w:t>
      </w:r>
    </w:p>
    <w:p>
      <w:pPr>
        <w:pStyle w:val="ListBullet"/>
      </w:pPr>
      <w:r>
        <w:t>Procesveiligheid: exotherme reacties bij uitloging met H₂SO₄, drukopbouw, thermische runaway</w:t>
      </w:r>
    </w:p>
    <w:p>
      <w:pPr>
        <w:pStyle w:val="ListBullet"/>
      </w:pPr>
      <w:r>
        <w:t>Seveso Major Accident Hazards: zuurwolkvorming, cascading effects, DOMINO-scenario's</w:t>
      </w:r>
    </w:p>
    <w:p>
      <w:pPr>
        <w:pStyle w:val="ListBullet"/>
      </w:pPr>
      <w:r>
        <w:t>Stofexplosie &amp; ATEX: V₂O₅-stofwolk bij drogen/calcineren, classificatie explosieve atmosferen</w:t>
      </w:r>
    </w:p>
    <w:p>
      <w:pPr>
        <w:pStyle w:val="ListBullet"/>
      </w:pPr>
      <w:r>
        <w:t>Carcinogene blootstelling: V₂O₅ (Carc. 1B, H350i), chroom-6 in staalslakken</w:t>
      </w:r>
    </w:p>
    <w:p>
      <w:pPr>
        <w:pStyle w:val="ListBullet"/>
      </w:pPr>
      <w:r>
        <w:t>Stralingsrisico's: NORM (Ra-226, Th-232) in staalslakken</w:t>
      </w:r>
    </w:p>
    <w:p>
      <w:pPr>
        <w:pStyle w:val="ListBullet"/>
      </w:pPr>
      <w:r>
        <w:t>Milieurisico's: lozing zuur, V₂O₅-emissie, afvalwater zware metalen</w:t>
      </w:r>
    </w:p>
    <w:p>
      <w:pPr>
        <w:pStyle w:val="Heading1"/>
      </w:pPr>
      <w:r>
        <w:rPr>
          <w:color w:val="003366"/>
        </w:rPr>
        <w:t>4.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Wetgeving</w:t>
            </w:r>
          </w:p>
        </w:tc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Artikel/Bepaling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Arbowet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Algemeen kader risico-inventarisatie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Art. 5 (RI&amp;E verplichting)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Arbobesluit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Specifieke risico's ( chemicaliën, explosie, straling)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Diverse hoofdstukken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BRZO 2015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Seveso-inrichting lagere dresser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Art. 5, 6, 7, 10 [2]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Seveso III (2012/18/EU)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Europese major accident prevention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Art. 10, 11, 12 [4]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NTA 8620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Nederlandse toetsingsrichtlijn BRZO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Gevarenregister, risicomatrix 5×5 [5]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CLP (EG 1272/2008)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Classificatie gevaarlijke stoffen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Bijlage I-VII [6]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ATEX 137/114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Explosieve atmosferen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1999/92/EG, 2014/34/EU [7]</w:t>
            </w:r>
          </w:p>
        </w:tc>
      </w:tr>
    </w:tbl>
    <w:p>
      <w:pPr>
        <w:pStyle w:val="Heading1"/>
      </w:pPr>
      <w:r>
        <w:rPr>
          <w:color w:val="003366"/>
        </w:rPr>
        <w:t>5. Actualisatie: Nieuwe Risico's</w:t>
      </w:r>
    </w:p>
    <w:p>
      <w:pPr>
        <w:pStyle w:val="Heading2"/>
      </w:pPr>
      <w:r>
        <w:rPr>
          <w:color w:val="003366"/>
        </w:rPr>
        <w:t>A. Procesveiligheid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Bestaande maatregelen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Aanvullende maatregelen</w:t>
            </w:r>
          </w:p>
        </w:tc>
        <w:tc>
          <w:tcPr>
            <w:tcW w:type="dxa" w:w="102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Exotherme reactie uitloging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H₂SO₄ + staalslakken (50-90°C)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Temperatuurbewaking, koeling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SIS/interlock, HAZOP studie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Drukopbouw reactor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Gasvorming bij reactie, verstopping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Ventilatie, overdrukventielen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Burst disc, drukalarm + trip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Lekkage H₂SO₄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Corrosie, pakkingfalen, menselijke fout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Controle lektrogens, drip trays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Dubbelwandige leiding, lekdetectie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Oververhitting droogoven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Thermische runaway V₂O₅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Thermostaat, alarm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SIS interlock, automatische shutdown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</w:tbl>
    <w:p>
      <w:pPr>
        <w:pStyle w:val="Heading2"/>
      </w:pPr>
      <w:r>
        <w:rPr>
          <w:color w:val="003366"/>
        </w:rPr>
        <w:t>B. Seveso Major Accident Hazards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Bestaande maatregelen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Aanvullende maatregelen</w:t>
            </w:r>
          </w:p>
        </w:tc>
        <w:tc>
          <w:tcPr>
            <w:tcW w:type="dxa" w:w="102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Zuurwolkvorming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Grote lekkage H₂SO₄ + atmosfeer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Ventilatie, afscherming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Dispersieberekening, evacuatieplan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Stofexplosie cascade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V₂O₅ stof + ontstekingsbron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Stofafzuiging, ATEX zones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Explosie-onderdrukking, isolatie kleppen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DOMINO-effect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Brand/explosie triggert secundaire incidenten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Scheidingsafstand, brandschermen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DOMINO-analyse, mitigatieplan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</w:tbl>
    <w:p>
      <w:pPr>
        <w:pStyle w:val="Heading2"/>
      </w:pPr>
      <w:r>
        <w:rPr>
          <w:color w:val="003366"/>
        </w:rPr>
        <w:t>C. Stofexplosie &amp; ATEX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Bestaande maatregelen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Aanvullende maatregelen</w:t>
            </w:r>
          </w:p>
        </w:tc>
        <w:tc>
          <w:tcPr>
            <w:tcW w:type="dxa" w:w="102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V₂O₅ stofwolk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Drogen, calcineren, afvoer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Stofafzuiging, filters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ATEX-zone classificatie, explosieparameters (Kst, Pmax)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ATEX-classificatie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Alle stofverwerkende eenheden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NIET aanwezig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Zone 20/21/22 mapping conform ATEX 137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Ontstekingsbronnen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Statische elektriciteit, wrijving, hete oppervlakken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Aarding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Ignition source inventory, ATEX equipment cert.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</w:tbl>
    <w:p>
      <w:pPr>
        <w:pStyle w:val="Heading2"/>
      </w:pPr>
      <w:r>
        <w:rPr>
          <w:color w:val="003366"/>
        </w:rPr>
        <w:t>D. Carcinogene Stoffen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Bestaande maatregelen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Aanvullende maatregelen</w:t>
            </w:r>
          </w:p>
        </w:tc>
        <w:tc>
          <w:tcPr>
            <w:tcW w:type="dxa" w:w="102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V₂O₅ inhalatie (Carc. 1B)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Drogen, afvoer, onderhoud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LEV, P3-masker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Gesloten systeem, continue monitoring, gezondheidssurveillance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V₂O₅ huidblootstelling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Hantering product, reiniging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Werkkleding, handschoenen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Gesloten verpakking, wasvoorzieningen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Chroom-6 in staalslakken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Ontvangst, roosten, handling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Stofmasker, LEV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Specifieke Cr-6 monitoring, arbeidshygiënisch onderzoek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</w:tbl>
    <w:p>
      <w:pPr>
        <w:pStyle w:val="Heading2"/>
      </w:pPr>
      <w:r>
        <w:rPr>
          <w:color w:val="003366"/>
        </w:rPr>
        <w:t>E. Stralingsrisico's (NORM)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Bestaande maatregelen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Aanvullende maatregelen</w:t>
            </w:r>
          </w:p>
        </w:tc>
        <w:tc>
          <w:tcPr>
            <w:tcW w:type="dxa" w:w="102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Ra-226/Th-232 in staalslakken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Ontvangst, opslag, verwerking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NIET aanwezig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NORM-inventarisatie, stralingsmetingen, doseerrichtlijnen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Ophoping NORM in residu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Reststromen, slib, filters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NIET aanwezig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Karakterisering afvalstromen, opslag NORM afval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</w:tbl>
    <w:p>
      <w:pPr>
        <w:pStyle w:val="Heading2"/>
      </w:pPr>
      <w:r>
        <w:rPr>
          <w:color w:val="003366"/>
        </w:rPr>
        <w:t>F. Milieurisico's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Bestaande maatregelen</w:t>
            </w:r>
          </w:p>
        </w:tc>
        <w:tc>
          <w:tcPr>
            <w:tcW w:type="dxa" w:w="198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Aanvullende maatregelen</w:t>
            </w:r>
          </w:p>
        </w:tc>
        <w:tc>
          <w:tcPr>
            <w:tcW w:type="dxa" w:w="102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Lozing zuur naar oppervlaktewater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Lekkage, overstroming bassin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Onderhoud, inspectie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Boom/buffercapaciteit, lozingsvergunning actualisatie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V₂O₅ emissie lucht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Drogen, calcineren, afvoer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Filter, wasinstallatie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Continue emissiemeting, MEL rapportage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Hoog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984"/>
          </w:tcPr>
          <w:p>
            <w:pPr/>
            <w:r>
              <w:rPr>
                <w:sz w:val="18"/>
              </w:rPr>
              <w:t>Afvalwater zware metalen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Proceswater, spoeling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Zuivering, neutralisatie</w:t>
            </w:r>
          </w:p>
        </w:tc>
        <w:tc>
          <w:tcPr>
            <w:tcW w:type="dxa" w:w="1984"/>
          </w:tcPr>
          <w:p>
            <w:pPr/>
            <w:r>
              <w:rPr>
                <w:sz w:val="18"/>
              </w:rPr>
              <w:t>Zware-metalen analyses, vergunningsvoorwaarden</w:t>
            </w:r>
          </w:p>
        </w:tc>
        <w:tc>
          <w:tcPr>
            <w:tcW w:type="dxa" w:w="1020"/>
          </w:tcPr>
          <w:p>
            <w:pPr/>
            <w:r>
              <w:rPr>
                <w:sz w:val="18"/>
              </w:rPr>
              <w:t>Medium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</w:tr>
    </w:tbl>
    <w:p>
      <w:pPr>
        <w:pStyle w:val="Heading1"/>
      </w:pPr>
      <w:r>
        <w:rPr>
          <w:color w:val="003366"/>
        </w:rPr>
        <w:t>6. Integratie Gevarenregister &amp; Risicomatrix</w:t>
      </w:r>
    </w:p>
    <w:p>
      <w:r>
        <w:t>De in dit document geïdentificeerde risico's zijn gekoppeld aan:</w:t>
      </w:r>
    </w:p>
    <w:p>
      <w:pPr>
        <w:pStyle w:val="ListBullet"/>
      </w:pPr>
      <w:r>
        <w:t>Document #2 (Gevarenregister): Elk risico uit Sectie 5 is opgenomen in het gevarenregister met unieke GEVAAR-ID referenties conform NTA 8620 [5].</w:t>
      </w:r>
    </w:p>
    <w:p>
      <w:pPr>
        <w:pStyle w:val="ListBullet"/>
      </w:pPr>
      <w:r>
        <w:t>Document #3 (Risicomatrix): Kans-effect scores (5×5 matrix) zijn toegewezen per risicogroep. De prioriteitsclassificatie in Sectie 5 correspondeert met de risicoclassificatie in de matrix (Hoog = rode zone, Medium = oranje zone).</w:t>
      </w:r>
    </w:p>
    <w:p>
      <w:pPr>
        <w:pStyle w:val="ListBullet"/>
      </w:pPr>
      <w:r>
        <w:t>Koppeling Element 1: VBS01_01 (PBZO Beleidsdocument) definieert het kader; VBS01_04 (Training Matrix) specificeert vereiste trainingen voor nieuwe risicodomeinen.</w:t>
      </w:r>
    </w:p>
    <w:p>
      <w:pPr>
        <w:pStyle w:val="Heading1"/>
      </w:pPr>
      <w:r>
        <w:rPr>
          <w:color w:val="003366"/>
        </w:rPr>
        <w:t>7. Plan van Aanpak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567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3402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1701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134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85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567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Groep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A1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HAZOP studie uitlogingsreactor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Procesingenieur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A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A2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SIS/interlock ontwerp temperatuur- en drukbeveiliging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Procesingenieur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A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A3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Dubbelwandige leidingen H₂SO₄ + lekdetectiesysteem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Installateur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A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B1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Dispersieberekening zuurwolk (PHAST/FLACS)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HSEQ Manager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B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B2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DOMINO-analyse buurinrichtingen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HSEQ Manager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B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C1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Stofexplosie-parameterbepaling (Kst, Pmax) V₂O₅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Laboratorium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C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C2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ATEX-zone classificatie (Zone 20/21/22)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ATEX-deskundige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C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C3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Ontstekingsbronneninventarisatie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ATEX-deskundige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C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D1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Arbeidshygiënisch onderzoek V₂O₅ inhalatieblootstelling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Arbeidshygienist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D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D2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Cr-6 karakterisering staalslakken + monitoringplan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Laboratorium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D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E1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NORM-inventarisatie Ra-226/Th-232 grondstoffen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Stralingsdeskundige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E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E2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Karakterisering NORM in residustromen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Stralingsdeskundige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E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F1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Actualisatie lozingsvergunning (zuur + zware metalen)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HSEQ Manager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Q2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F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F2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Continue emissiemeting V₂O₃ lucht + MEL-rapportage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Milieuadviseur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F</w:t>
            </w:r>
          </w:p>
        </w:tc>
      </w:tr>
      <w:tr>
        <w:tc>
          <w:tcPr>
            <w:tcW w:type="dxa" w:w="567"/>
          </w:tcPr>
          <w:p>
            <w:pPr/>
            <w:r>
              <w:rPr>
                <w:sz w:val="18"/>
              </w:rPr>
              <w:t>F3</w:t>
            </w:r>
          </w:p>
        </w:tc>
        <w:tc>
          <w:tcPr>
            <w:tcW w:type="dxa" w:w="3402"/>
          </w:tcPr>
          <w:p>
            <w:pPr/>
            <w:r>
              <w:rPr>
                <w:sz w:val="18"/>
              </w:rPr>
              <w:t>Afvalwaterbehandelingsplan zware metalen</w:t>
            </w:r>
          </w:p>
        </w:tc>
        <w:tc>
          <w:tcPr>
            <w:tcW w:type="dxa" w:w="1701"/>
          </w:tcPr>
          <w:p>
            <w:pPr/>
            <w:r>
              <w:rPr>
                <w:sz w:val="18"/>
              </w:rPr>
              <w:t>Procesingenieur</w:t>
            </w:r>
          </w:p>
        </w:tc>
        <w:tc>
          <w:tcPr>
            <w:tcW w:type="dxa" w:w="1134"/>
          </w:tcPr>
          <w:p>
            <w:pPr/>
            <w:r>
              <w:rPr>
                <w:sz w:val="18"/>
              </w:rPr>
              <w:t>Q3 2026</w:t>
            </w:r>
          </w:p>
        </w:tc>
        <w:tc>
          <w:tcPr>
            <w:tcW w:type="dxa" w:w="850"/>
          </w:tcPr>
          <w:p>
            <w:pPr/>
            <w:r>
              <w:rPr>
                <w:sz w:val="18"/>
              </w:rPr>
              <w:t>Open</w:t>
            </w:r>
          </w:p>
        </w:tc>
        <w:tc>
          <w:tcPr>
            <w:tcW w:type="dxa" w:w="567"/>
          </w:tcPr>
          <w:p>
            <w:pPr/>
            <w:r>
              <w:rPr>
                <w:sz w:val="18"/>
              </w:rPr>
              <w:t>F</w:t>
            </w:r>
          </w:p>
        </w:tc>
      </w:tr>
    </w:tbl>
    <w:p>
      <w:pPr>
        <w:pStyle w:val="Heading1"/>
      </w:pPr>
      <w:r>
        <w:rPr>
          <w:color w:val="003366"/>
        </w:rPr>
        <w:t>8. Bronnenlijst</w:t>
      </w:r>
    </w:p>
    <w:p>
      <w:pPr>
        <w:pStyle w:val="ListBullet"/>
      </w:pPr>
      <w:r>
        <w:t>[1] RI&amp;E Verdiepend Gevaarlijke Stoffen V3.0, Phoenix Metals IJmuiden, 2021.</w:t>
      </w:r>
    </w:p>
    <w:p>
      <w:pPr>
        <w:pStyle w:val="ListBullet"/>
      </w:pPr>
      <w:r>
        <w:t>[2] BRZO 2015 (Besluit risico's zware ongevallen 2015), Staatsblad 2015, 381.</w:t>
      </w:r>
    </w:p>
    <w:p>
      <w:pPr>
        <w:pStyle w:val="ListBullet"/>
      </w:pPr>
      <w:r>
        <w:t>[3] PGS 15:2019 — Publicatiereeks Gevaarlijke Stoffen, Opslag gevaarlijke stoffen.</w:t>
      </w:r>
    </w:p>
    <w:p>
      <w:pPr>
        <w:pStyle w:val="ListBullet"/>
      </w:pPr>
      <w:r>
        <w:t>[4] Seveso III-richtlijn 2012/18/EU, Publiekblad van de Europese Unie, L 197/1.</w:t>
      </w:r>
    </w:p>
    <w:p>
      <w:pPr>
        <w:pStyle w:val="ListBullet"/>
      </w:pPr>
      <w:r>
        <w:t>[5] NTA 8620:2018 — Nederlandse Technische Afspraken, Veiligheidsrapportage BRZO.</w:t>
      </w:r>
    </w:p>
    <w:p>
      <w:pPr>
        <w:pStyle w:val="ListBullet"/>
      </w:pPr>
      <w:r>
        <w:t>[6] CLP-Verordening (EG) nr. 1272/2008, classificatie, etikettering en verpakking.</w:t>
      </w:r>
    </w:p>
    <w:p>
      <w:pPr>
        <w:pStyle w:val="ListBullet"/>
      </w:pPr>
      <w:r>
        <w:t>[7] ATEX-richtlijnen 1999/92/EG en 2014/34/EU, explosieve atmosferen.</w:t>
      </w:r>
    </w:p>
    <w:p>
      <w:pPr>
        <w:pStyle w:val="Heading1"/>
      </w:pPr>
      <w:r>
        <w:rPr>
          <w:color w:val="003366"/>
        </w:rPr>
        <w:t>9.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2880"/>
            <w:shd w:fill="003366"/>
            <w:shd w:val="clear" w:color="auto"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Bronconsistentie meta-dossier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Alle feitelijke claims herleidbaar tot meta-dossier_v1.0.md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Risicogroepen compleet (A-F)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6 groepen, 21 risico's geïdentificeerd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Wettelijk kader actueel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BRZO 2015, Seveso III, NTA 8620, ATEX geverifieerd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Koppeling Doc #2 en #3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Integratiesectie aanwezig met GEVAAR-ID referenties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Plan van Aanpak compleet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15 acties, alle groepen A-F vertegenwoordigd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Bronverwijzingen [1]-[7]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Alle claims voorzien van bronverwijzing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pPr/>
            <w:r>
              <w:rPr>
                <w:sz w:val="18"/>
              </w:rPr>
              <w:t>Documentheader conform Styleguide §2.1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Project, Type, Auteur, Versie, Datum, Status aanwezig</w:t>
            </w:r>
          </w:p>
        </w:tc>
        <w:tc>
          <w:tcPr>
            <w:tcW w:type="dxa" w:w="2880"/>
          </w:tcPr>
          <w:p>
            <w:pPr/>
            <w:r>
              <w:rPr>
                <w:sz w:val="18"/>
              </w:rPr>
              <w:t>✅ Pass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