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8"/>
        </w:rPr>
        <w:t>RISICOMATRIX 5×5</w:t>
      </w:r>
    </w:p>
    <w:p>
      <w:pPr>
        <w:jc w:val="center"/>
      </w:pPr>
      <w:r>
        <w:rPr>
          <w:color w:val="003366"/>
          <w:sz w:val="28"/>
        </w:rPr>
        <w:t>VBS Element 2 — Identificatie en Evaluatie van Gevaren</w:t>
        <w:br/>
        <w:t>Document #3 — Phoenix Metals B.V.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160"/>
          </w:tcPr>
          <w:p>
            <w:r>
              <w:t>2026-PM-VBS-Element2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2160"/>
          </w:tcPr>
          <w:p>
            <w:r>
              <w:t>Risicomatrix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2160"/>
          </w:tcPr>
          <w:p>
            <w:r>
              <w:t>HQ_14 Risk Manager via Kas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2160"/>
          </w:tcPr>
          <w:p>
            <w:r>
              <w:t>1.0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2160"/>
          </w:tcPr>
          <w:p>
            <w:r>
              <w:t>Final</w:t>
            </w:r>
          </w:p>
        </w:tc>
      </w:tr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Opdrachtgever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Locatie</w:t>
            </w:r>
          </w:p>
        </w:tc>
        <w:tc>
          <w:tcPr>
            <w:tcW w:type="dxa" w:w="2160"/>
          </w:tcPr>
          <w:p>
            <w:r>
              <w:t>IJmuiden (pilot/demo plant)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2. Documentbeheersing</w:t>
      </w:r>
    </w:p>
    <w:p>
      <w:pPr>
        <w:pStyle w:val="Heading2"/>
      </w:pPr>
      <w:r>
        <w:t>2.1 Versiebeheer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>
              <w:t>HQ_14 Risk Manager</w:t>
            </w:r>
          </w:p>
        </w:tc>
        <w:tc>
          <w:tcPr>
            <w:tcW w:type="dxa" w:w="2160"/>
          </w:tcPr>
          <w:p>
            <w:r>
              <w:t>Initiële versie — risicomatrix 30 gevaren</w:t>
            </w:r>
          </w:p>
        </w:tc>
      </w:tr>
    </w:tbl>
    <w:p>
      <w:pPr>
        <w:pStyle w:val="Heading2"/>
      </w:pPr>
      <w:r>
        <w:t>2.2 Distributielijst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Functie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Naam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Organisatie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Distributie</w:t>
            </w:r>
          </w:p>
        </w:tc>
      </w:tr>
      <w:tr>
        <w:tc>
          <w:tcPr>
            <w:tcW w:type="dxa" w:w="2160"/>
          </w:tcPr>
          <w:p>
            <w:r>
              <w:t>Directie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 (PDF)</w:t>
            </w:r>
          </w:p>
        </w:tc>
      </w:tr>
      <w:tr>
        <w:tc>
          <w:tcPr>
            <w:tcW w:type="dxa" w:w="2160"/>
          </w:tcPr>
          <w:p>
            <w:r>
              <w:t>HSEQ Manager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 (PDF + XLSX)</w:t>
            </w:r>
          </w:p>
        </w:tc>
      </w:tr>
      <w:tr>
        <w:tc>
          <w:tcPr>
            <w:tcW w:type="dxa" w:w="2160"/>
          </w:tcPr>
          <w:p>
            <w:r>
              <w:t>KAM-coördinator</w:t>
            </w:r>
          </w:p>
        </w:tc>
        <w:tc>
          <w:tcPr>
            <w:tcW w:type="dxa" w:w="2160"/>
          </w:tcPr>
          <w:p>
            <w:r>
              <w:t>TBD</w:t>
            </w:r>
          </w:p>
        </w:tc>
        <w:tc>
          <w:tcPr>
            <w:tcW w:type="dxa" w:w="2160"/>
          </w:tcPr>
          <w:p>
            <w:r>
              <w:t>Phoenix Metals B.V.</w:t>
            </w:r>
          </w:p>
        </w:tc>
        <w:tc>
          <w:tcPr>
            <w:tcW w:type="dxa" w:w="2160"/>
          </w:tcPr>
          <w:p>
            <w:r>
              <w:t>Digitaal</w:t>
            </w:r>
          </w:p>
        </w:tc>
      </w:tr>
      <w:tr>
        <w:tc>
          <w:tcPr>
            <w:tcW w:type="dxa" w:w="2160"/>
          </w:tcPr>
          <w:p>
            <w:r>
              <w:t>Consultant</w:t>
            </w:r>
          </w:p>
        </w:tc>
        <w:tc>
          <w:tcPr>
            <w:tcW w:type="dxa" w:w="2160"/>
          </w:tcPr>
          <w:p>
            <w:r>
              <w:t>J. van Gemert</w:t>
            </w:r>
          </w:p>
        </w:tc>
        <w:tc>
          <w:tcPr>
            <w:tcW w:type="dxa" w:w="2160"/>
          </w:tcPr>
          <w:p>
            <w:r>
              <w:t>JvG Consultancy</w:t>
            </w:r>
          </w:p>
        </w:tc>
        <w:tc>
          <w:tcPr>
            <w:tcW w:type="dxa" w:w="2160"/>
          </w:tcPr>
          <w:p>
            <w:r>
              <w:t>Bronbestand</w:t>
            </w:r>
          </w:p>
        </w:tc>
      </w:tr>
    </w:tbl>
    <w:p>
      <w:pPr>
        <w:pStyle w:val="Heading2"/>
      </w:pPr>
      <w:r>
        <w:t>2.3 Autorisatie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Rol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Naam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Handtekening</w:t>
            </w:r>
          </w:p>
        </w:tc>
      </w:tr>
      <w:tr>
        <w:tc>
          <w:tcPr>
            <w:tcW w:type="dxa" w:w="2160"/>
          </w:tcPr>
          <w:p>
            <w:r>
              <w:t>Opgesteld</w:t>
            </w:r>
          </w:p>
        </w:tc>
        <w:tc>
          <w:tcPr>
            <w:tcW w:type="dxa" w:w="2160"/>
          </w:tcPr>
          <w:p>
            <w:r>
              <w:t>HQ_14 Risk Manager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Gecontroleerd</w:t>
            </w:r>
          </w:p>
        </w:tc>
        <w:tc>
          <w:tcPr>
            <w:tcW w:type="dxa" w:w="2160"/>
          </w:tcPr>
          <w:p>
            <w:r>
              <w:t>Kas (Director of Operations)</w:t>
            </w:r>
          </w:p>
        </w:tc>
        <w:tc>
          <w:tcPr>
            <w:tcW w:type="dxa" w:w="2160"/>
          </w:tcPr>
          <w:p>
            <w:r>
              <w:t>2026-04-29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Goedgekeurd</w:t>
            </w:r>
          </w:p>
        </w:tc>
        <w:tc>
          <w:tcPr>
            <w:tcW w:type="dxa" w:w="2160"/>
          </w:tcPr>
          <w:p>
            <w:r>
              <w:t>TBD (Directie Phoenix Metals)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3. Doel &amp; Scope</w:t>
      </w:r>
    </w:p>
    <w:p>
      <w:pPr>
        <w:pStyle w:val="Heading2"/>
      </w:pPr>
      <w:r>
        <w:t>3.1 Doel</w:t>
      </w:r>
    </w:p>
    <w:p>
      <w:r>
        <w:t>Dit document bevat de systematische risicobeoordeling van alle geïdentificeerde gevaren voor Phoenix Metals B.V. te IJmuiden, conform BRZO 2015 Art. 5-6 [1] en NTA 8620 [2]. De risicomatrix 5×5 kwantificeert de kans en effecten per gevaarsscenario, waarna mitigerende maatregelen worden toegewezen om het risico tot een aanvaardbaar niveau (ALARP) te brengen [3].</w:t>
      </w:r>
    </w:p>
    <w:p>
      <w:pPr>
        <w:pStyle w:val="Heading2"/>
      </w:pPr>
      <w:r>
        <w:t>3.2 Scope</w:t>
      </w:r>
    </w:p>
    <w:p>
      <w:r>
        <w:t>De scope omvat alle 30 geïdentificeerde gevaren uit het Gevarenregister (Document #2, PM_VBS02_02), gedekt door de volgende processtappen: ontvangst &amp; opslag, roosten, uitloging, vloeistof-vast scheiding, zuivering, neerslag/kristallisatie, drogen/calcineren, en verpakking &amp; opslag [4].</w:t>
      </w:r>
    </w:p>
    <w:p>
      <w:pPr>
        <w:pStyle w:val="Heading1"/>
      </w:pPr>
      <w:r>
        <w:rPr>
          <w:color w:val="003366"/>
        </w:rPr>
        <w:t>4. Methodiek</w:t>
      </w:r>
    </w:p>
    <w:p>
      <w:r>
        <w:t>De risicobeoordeling volgt de 5×5 risicomatrix methodiek conform NTA 8620 [2] en ISO 31000:2018 [3]. De risicoscore wordt berekend als: Risicoscore = Kans × max(Effect Mens, Effect Milieu, Effect Installatie).</w:t>
      </w:r>
    </w:p>
    <w:p>
      <w:pPr>
        <w:pStyle w:val="Heading2"/>
      </w:pPr>
      <w:r>
        <w:t>4.1 Kansschaal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Kans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Definitie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Zeer onwaarschijnlijk</w:t>
            </w:r>
          </w:p>
        </w:tc>
        <w:tc>
          <w:tcPr>
            <w:tcW w:type="dxa" w:w="2880"/>
          </w:tcPr>
          <w:p>
            <w:r>
              <w:t>&lt;1x per 10 jaar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Onwaarschijnlijk</w:t>
            </w:r>
          </w:p>
        </w:tc>
        <w:tc>
          <w:tcPr>
            <w:tcW w:type="dxa" w:w="2880"/>
          </w:tcPr>
          <w:p>
            <w:r>
              <w:t>1x per 5-10 jaar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Mogelijk</w:t>
            </w:r>
          </w:p>
        </w:tc>
        <w:tc>
          <w:tcPr>
            <w:tcW w:type="dxa" w:w="2880"/>
          </w:tcPr>
          <w:p>
            <w:r>
              <w:t>1x per 1-5 jaar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Waarschijnlijk</w:t>
            </w:r>
          </w:p>
        </w:tc>
        <w:tc>
          <w:tcPr>
            <w:tcW w:type="dxa" w:w="2880"/>
          </w:tcPr>
          <w:p>
            <w:r>
              <w:t>1x per jaar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Zeer waarschijnlijk</w:t>
            </w:r>
          </w:p>
        </w:tc>
        <w:tc>
          <w:tcPr>
            <w:tcW w:type="dxa" w:w="2880"/>
          </w:tcPr>
          <w:p>
            <w:r>
              <w:t>&gt;1x per jaar</w:t>
            </w:r>
          </w:p>
        </w:tc>
      </w:tr>
    </w:tbl>
    <w:p>
      <w:pPr>
        <w:pStyle w:val="Heading2"/>
      </w:pPr>
      <w:r>
        <w:t>4.2 Effectschaal Mens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letsel</w:t>
            </w:r>
          </w:p>
        </w:tc>
        <w:tc>
          <w:tcPr>
            <w:tcW w:type="dxa" w:w="2880"/>
          </w:tcPr>
          <w:p>
            <w:r>
              <w:t>Onbelangrijk, geen behandeling nodig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 letsel</w:t>
            </w:r>
          </w:p>
        </w:tc>
        <w:tc>
          <w:tcPr>
            <w:tcW w:type="dxa" w:w="2880"/>
          </w:tcPr>
          <w:p>
            <w:r>
              <w:t>Eerstehulp, geen verzuim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Medische behandeling</w:t>
            </w:r>
          </w:p>
        </w:tc>
        <w:tc>
          <w:tcPr>
            <w:tcW w:type="dxa" w:w="2880"/>
          </w:tcPr>
          <w:p>
            <w:r>
              <w:t>Verzuim, medische behandeling vereist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 letsel</w:t>
            </w:r>
          </w:p>
        </w:tc>
        <w:tc>
          <w:tcPr>
            <w:tcW w:type="dxa" w:w="2880"/>
          </w:tcPr>
          <w:p>
            <w:r>
              <w:t>Blijvende schade, ziekenhuisopname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Dodelijk</w:t>
            </w:r>
          </w:p>
        </w:tc>
        <w:tc>
          <w:tcPr>
            <w:tcW w:type="dxa" w:w="2880"/>
          </w:tcPr>
          <w:p>
            <w:r>
              <w:t>Dodelijk of meerdere doden</w:t>
            </w:r>
          </w:p>
        </w:tc>
      </w:tr>
    </w:tbl>
    <w:p>
      <w:pPr>
        <w:pStyle w:val="Heading2"/>
      </w:pPr>
      <w:r>
        <w:t>4.3 Effectschaal Milieu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effect</w:t>
            </w:r>
          </w:p>
        </w:tc>
        <w:tc>
          <w:tcPr>
            <w:tcW w:type="dxa" w:w="2880"/>
          </w:tcPr>
          <w:p>
            <w:r>
              <w:t>Geen milieu-impact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</w:t>
            </w:r>
          </w:p>
        </w:tc>
        <w:tc>
          <w:tcPr>
            <w:tcW w:type="dxa" w:w="2880"/>
          </w:tcPr>
          <w:p>
            <w:r>
              <w:t>Lokaal, volledig herstelbaar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Matig</w:t>
            </w:r>
          </w:p>
        </w:tc>
        <w:tc>
          <w:tcPr>
            <w:tcW w:type="dxa" w:w="2880"/>
          </w:tcPr>
          <w:p>
            <w:r>
              <w:t>Locale beperking, herstel binnen 1 jaar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</w:t>
            </w:r>
          </w:p>
        </w:tc>
        <w:tc>
          <w:tcPr>
            <w:tcW w:type="dxa" w:w="2880"/>
          </w:tcPr>
          <w:p>
            <w:r>
              <w:t>Regionale impact, langdurig herstel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Catastrofaal</w:t>
            </w:r>
          </w:p>
        </w:tc>
        <w:tc>
          <w:tcPr>
            <w:tcW w:type="dxa" w:w="2880"/>
          </w:tcPr>
          <w:p>
            <w:r>
              <w:t>Grootschalige schade, permanente impact</w:t>
            </w:r>
          </w:p>
        </w:tc>
      </w:tr>
    </w:tbl>
    <w:p>
      <w:pPr>
        <w:pStyle w:val="Heading2"/>
      </w:pPr>
      <w:r>
        <w:t>4.4 Effectschaal Installatie / Economie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Omschrijving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Geen schade</w:t>
            </w:r>
          </w:p>
        </w:tc>
        <w:tc>
          <w:tcPr>
            <w:tcW w:type="dxa" w:w="2880"/>
          </w:tcPr>
          <w:p>
            <w:r>
              <w:t>Geen impact op installatie/economie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Geringe schade</w:t>
            </w:r>
          </w:p>
        </w:tc>
        <w:tc>
          <w:tcPr>
            <w:tcW w:type="dxa" w:w="2880"/>
          </w:tcPr>
          <w:p>
            <w:r>
              <w:t>&lt; €10.000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Matige schade</w:t>
            </w:r>
          </w:p>
        </w:tc>
        <w:tc>
          <w:tcPr>
            <w:tcW w:type="dxa" w:w="2880"/>
          </w:tcPr>
          <w:p>
            <w:r>
              <w:t>€10.000 – €100.000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Ernstige schade</w:t>
            </w:r>
          </w:p>
        </w:tc>
        <w:tc>
          <w:tcPr>
            <w:tcW w:type="dxa" w:w="2880"/>
          </w:tcPr>
          <w:p>
            <w:r>
              <w:t>€100.000 – €1.000.000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Catastrofaal</w:t>
            </w:r>
          </w:p>
        </w:tc>
        <w:tc>
          <w:tcPr>
            <w:tcW w:type="dxa" w:w="2880"/>
          </w:tcPr>
          <w:p>
            <w:r>
              <w:t>&gt; €1.000.000</w:t>
            </w:r>
          </w:p>
        </w:tc>
      </w:tr>
    </w:tbl>
    <w:p>
      <w:pPr>
        <w:pStyle w:val="Heading2"/>
      </w:pPr>
      <w:r>
        <w:t>4.5 Risiconiveaus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Score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Niveau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Kleur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Actie</w:t>
            </w:r>
          </w:p>
        </w:tc>
      </w:tr>
      <w:tr>
        <w:tc>
          <w:tcPr>
            <w:tcW w:type="dxa" w:w="2160"/>
          </w:tcPr>
          <w:p>
            <w:r>
              <w:t>1-4</w:t>
            </w:r>
          </w:p>
        </w:tc>
        <w:tc>
          <w:tcPr>
            <w:tcW w:type="dxa" w:w="2160"/>
          </w:tcPr>
          <w:p>
            <w:r>
              <w:t>Laag</w:t>
            </w:r>
          </w:p>
        </w:tc>
        <w:tc>
          <w:tcPr>
            <w:tcW w:type="dxa" w:w="2160"/>
            <w:shd w:fill="10B981"/>
          </w:tcPr>
          <w:p>
            <w:r>
              <w:t>Laag</w:t>
            </w:r>
          </w:p>
        </w:tc>
        <w:tc>
          <w:tcPr>
            <w:tcW w:type="dxa" w:w="2160"/>
          </w:tcPr>
          <w:p>
            <w:r>
              <w:t>Acceptabel, standaard beheer</w:t>
            </w:r>
          </w:p>
        </w:tc>
      </w:tr>
      <w:tr>
        <w:tc>
          <w:tcPr>
            <w:tcW w:type="dxa" w:w="2160"/>
          </w:tcPr>
          <w:p>
            <w:r>
              <w:t>5-9</w:t>
            </w:r>
          </w:p>
        </w:tc>
        <w:tc>
          <w:tcPr>
            <w:tcW w:type="dxa" w:w="2160"/>
          </w:tcPr>
          <w:p>
            <w:r>
              <w:t>Gemiddeld</w:t>
            </w:r>
          </w:p>
        </w:tc>
        <w:tc>
          <w:tcPr>
            <w:tcW w:type="dxa" w:w="2160"/>
            <w:shd w:fill="F59E0B"/>
          </w:tcPr>
          <w:p>
            <w:r>
              <w:t>Gemiddeld</w:t>
            </w:r>
          </w:p>
        </w:tc>
        <w:tc>
          <w:tcPr>
            <w:tcW w:type="dxa" w:w="2160"/>
          </w:tcPr>
          <w:p>
            <w:r>
              <w:t>ALARP, aanvullende maatregelen overwegen</w:t>
            </w:r>
          </w:p>
        </w:tc>
      </w:tr>
      <w:tr>
        <w:tc>
          <w:tcPr>
            <w:tcW w:type="dxa" w:w="2160"/>
          </w:tcPr>
          <w:p>
            <w:r>
              <w:t>10-16</w:t>
            </w:r>
          </w:p>
        </w:tc>
        <w:tc>
          <w:tcPr>
            <w:tcW w:type="dxa" w:w="2160"/>
          </w:tcPr>
          <w:p>
            <w:r>
              <w:t>Hoog</w:t>
            </w:r>
          </w:p>
        </w:tc>
        <w:tc>
          <w:tcPr>
            <w:tcW w:type="dxa" w:w="2160"/>
            <w:shd w:fill="DC2626"/>
          </w:tcPr>
          <w:p>
            <w:r>
              <w:t>Hoog</w:t>
            </w:r>
          </w:p>
        </w:tc>
        <w:tc>
          <w:tcPr>
            <w:tcW w:type="dxa" w:w="2160"/>
          </w:tcPr>
          <w:p>
            <w:r>
              <w:t>Niet acceptabel, mitigerende maatregelen VEREIST</w:t>
            </w:r>
          </w:p>
        </w:tc>
      </w:tr>
      <w:tr>
        <w:tc>
          <w:tcPr>
            <w:tcW w:type="dxa" w:w="2160"/>
          </w:tcPr>
          <w:p>
            <w:r>
              <w:t>17-25</w:t>
            </w:r>
          </w:p>
        </w:tc>
        <w:tc>
          <w:tcPr>
            <w:tcW w:type="dxa" w:w="2160"/>
          </w:tcPr>
          <w:p>
            <w:r>
              <w:t>Kritiek</w:t>
            </w:r>
          </w:p>
        </w:tc>
        <w:tc>
          <w:tcPr>
            <w:tcW w:type="dxa" w:w="2160"/>
            <w:shd w:fill="7F1D1D"/>
          </w:tcPr>
          <w:p>
            <w:r>
              <w:t>Kritiek</w:t>
            </w:r>
          </w:p>
        </w:tc>
        <w:tc>
          <w:tcPr>
            <w:tcW w:type="dxa" w:w="2160"/>
          </w:tcPr>
          <w:p>
            <w:r>
              <w:t>Onmiddellijk actie vereist, werk stilleggen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5. Risicomatrix 5×5 Visualisatie</w:t>
      </w:r>
    </w:p>
    <w:p>
      <w:r>
        <w:t>Onderstaande matrix toont de risicoscore bij elke combinatie van kans (verticaal) en effect (horizontaal). De kleurcodering volgt NTA 8620 [2]: groen (1-4), geel (5-9), rood (10-16), donkerrood (17-25).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Kans ↓ / Effect →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10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9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15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16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20</w:t>
            </w:r>
          </w:p>
        </w:tc>
      </w:tr>
      <w:tr>
        <w:tc>
          <w:tcPr>
            <w:tcW w:type="dxa" w:w="1440"/>
            <w:shd w:fill="003366"/>
          </w:tcPr>
          <w:p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5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10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b/>
                <w:color w:val="000000"/>
                <w:sz w:val="24"/>
              </w:rPr>
              <w:t>15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20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25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6. Risicobeoordeling per Gevaar</w:t>
      </w:r>
    </w:p>
    <w:p>
      <w:r>
        <w:t>Per gevaar uit het Gevarenregister (Document #2) zijn de kans- en effectscores bepaald op basis van het Meta-Dossier [4], bestaande RI&amp;E [4] en professionele expertise. De formule Risicoscore = Kans × max(Effect Mens, Effect Milieu, Effect Installatie) is consistent toegepast.</w:t>
      </w:r>
    </w:p>
    <w:p>
      <w:pPr>
        <w:pStyle w:val="Heading2"/>
      </w:pPr>
      <w:r>
        <w:t>G-001: Lekkage corrosieve vloeistof (H₂SO₄ opslag)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PGS 15 opslag, lekbak aanwezig; incidenten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Ernstige brandwonden, oogletsel bij direct contact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Bodemverontreiniging beperkt door lekbak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Corrosie lokaal leidingwerk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PGS 15 opslag, lekbak, PBM, ventilatie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Wekelijkse visuele inspectie lekbakken + digitale lekdetectie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G-002: Grote lekkage zwavelzuur — Seveso-scenario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Dubbelwandige opslag + lekdetectie;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Zuurwolk, massale blootstelling, meerdere ernstig gewond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bodem- en waterverontreiniging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opslagfaciliteit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Dubbelwandig, lekdetectie, calamiteitenplan, bluswaterafvoer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Scenario-oefening 2x/jaar + bluswatercapaciteitsanalyse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G-003: V₂O₅ stofwolk bij drogen/calcineren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HEPA-filters + gesloten systeem; falen filter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Inhalatie Carc. 1B (H350i), acute toxiciteit (H330)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V₂O₅ emissie lucht, Aquatic Chronic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Besmetting installatie, productieverlies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HEPA-filters, gesloten systeem, PBM (P3), luchtmonitoring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Redundante HEPA 2×100% + continue stofmonitoring met alarminterlock + jaarlijkse dichtheidstest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G-004: Ongecontroleerde exotherme reactie uitloging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Uitlogingsreactor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Temperatuurbewaking + overdrukbeveiliging; falen mogelijk bij mengfout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Brandwonden zuurspatting, blootstelling dampen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 zuurdampen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4 — Overdruk reactor, scheuren, productieverlies (€100k-1M)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Temperatuurbewaking, overdrukbeveiliging, doseercontrole, LTSA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SIL-geklasseerd doseersysteem + automatische noodkoeling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G-005: Blootstelling V₂O₅ bij afvoer vast materiaal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Afvoer vast materiaal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frequent bij open transport residu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Inhalatie toxisch stof, huidirritatie (H317)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Stofverspreiding terrein, lokaal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Vervuiling apparatuur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Stofafzuiging, gesloten transport, PBM (P3), nat maken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 gesloten transport systeem + continue stofmeting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G-006: Chemische brand H₂SO₄ + organisch materiaal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Reactie zuur/organisch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Scheiding stoffen per PGS 15; fout bij verkeerde opslag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Brandwonden, rookinhalatie, toxiciteit verbrandingsproducten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Rookemissie, bodemverontreiniging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Brandschade opslag/installatie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Scheiding stoffen, PGS 15, branddetectie, blussysteem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Automatische scheiding PGS 15 audit + training chemische compatibiliteit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G-007: Lekkage NaOH bij neutralisatie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Neutralisatiestatie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Lekdetectie + dubbele afsluiting; incidenten incidenteel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Ernstige brandwonden, oogletsel (blindheid)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Basische lozing, pH-verstoring 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Corrosie materialen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Lekdetectie, dubbele afsluiting, PBM, oogdouche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Automatische pH-interlock met afsluiter + dubbele lekbak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G-008: V₂O₅ blootstelling bij verpakking/verlading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Verpakking/verlading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bij vullen big bags; frequent bij open handling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Inhalatie Carc. 1B, acute toxiciteit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Stofemissie buitenlucht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Productverlies, besmetting verlaadruimte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12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Gesloten verpakkingssysteem, stofafzuiging, PBM (P3), luchtmeting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 geautomatiseerd verpakkingssysteem + interlock luchtmeting/toegang + P3 verplicht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G-009: Blootstelling chroom-6 in staalslakken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Staalslakken (grondstof)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Stofvorming frequent bij lossen, transport, 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Inhalatie carcinogeen Cr(VI), longkanker risico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Cr(VI) in oppervlaktewater en bodem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Vervuiling installatie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15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Stofonderdrukking (nat), PBM (P3), monitoring Cr(VI)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Continue Cr(VI) luchtmonitoring + volledig gesloten slakverwerking + specifiek Cr(VI) medisch surveillancetraject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4 = 8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G-010: Beknelling bij transportbanden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Transportbanden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Afscherming + noodstop; falen bij onderhoud/omzeilen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Amputatie, ernstig letsel handen/armen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Schade transportband, productiestop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Afscherming, noodstop, LOTOTO,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Interlock afscherming + wekelijkse inspectie + LOTOTO audit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G-011: Snijwonden bij onderhoud leidingen/apparatuur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Onderhoud leidingen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Scherpe randen + gereedschap; frequent bij onderhoud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Snijwonden, peesletsel, bloedverlies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Schade leidingwerk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Werkvergunning, PBM (snijbestendig),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Verbeterde snijbestendige handschoenen + verplichte werkplekinspectie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G-012: Val materiaal bij hijsen big bags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Hijsen big bags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Gecertificeerd gereedschap + keuringen; falen mogelijk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Verplettering, ernstig letsel of dodelijk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Verspilling grondstof, bodemverontreiniging lokaal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Schade constructie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Gecertificeerd hijsgereedschap, keuringen, verbod area, training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Verbod hijsen boven werkplekken + wekelijkse inspectie + hijszone camera surveillance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G-013: Elektrocutie bij onderhoud elektrische installatie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Elektrische 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LOTOTO + werkvergunning; zeer zeldzaam bij correcte procedure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Elektrische shock, hartstilstand,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Schade elektrisch systeem, brand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LOTOTO, werkvergunning, spanningsloos werken, opleiding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Jaarlijkse LOTOTO procedure audit + spanningsloos werken verplicht via interlock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G-014: Statische elektriciteit ontsteking V₂O₅ stofwolk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ATEX-zones + aarding aanwezig; falen bij onvoldoende aarding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Brandwonden, blast injury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 verbrandingsproducten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Explosieschade installatie, productieverlies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DC2626"/>
          </w:tcPr>
          <w:p>
            <w:r>
              <w:t>10 (Hoog)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Hoog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ATEX-zone classificatie, aarding, explosiedrukontlasting, stofafzuiging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Volledige ATEX-zone classificatie droogruimte + continue aardingsmonitoring + EDO berekening+installatie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G-015: Brandwonden hete oppervlakken reactor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Reactor/uitloging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Temperaturen 50-90°C; contact mogelijk bij ontbreken isolatie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Eerste/tweede graads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Thermische isolatie, waarschuwingsborden, PBM (hittebestendig)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Inspectie isolatie 2x/jaar + thermografie + verharding waarschuwingsborden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G-016: Stofexplosie bij drogen/calcineren V₂O₅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ATEX-certificering + extractie; zeer zeldzaam bij correcte 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Brandwonden, blast injury, longschade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Emissie brandproducten, V₂O₅ verspreiding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Ernstige schade drooginstallatie, cascadeschade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ATEX-certificering, stofextractie, explosiedrukontlasting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Explosiebeveiligingsdocument + jaarlijkse ATEX-audit + NO-smeergrendel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G-017: Brand bij las-/snijwerkzaamheden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Las-/snijwerkzaamheden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Werkvergunning + brandwacht; fout bij onvoldoende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Brandwonden, rookinhalatie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Emissie, bodemverontreiniging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3 — Brandschade installatie (€10k-100k)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Werkvergunning heet werk, brandwacht, blusmiddelen, 4-uur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Digitale werkvergunning + thermische camera 4-uur bewaking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2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G-018: Lumbago bij tillen big bags/zakken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Tillen big bags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Frequent tillen; risico bij verkeerde techniek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Rugletsel, hernia, langdurige arbeidsongeschiktheid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Tilinstructies, mechanisch hijsen, max 23 kg, rotatie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Verplichte tiltechniek training + mechanisch hijsen &gt;15 kg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G-019: RSI bij repetitief laboratoriumwerk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Laboratorium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Repetitieve handelingen; frequent bij ongunstige houding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2 — RSI, carpaal tunnel, schouder-/nekklachten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Ergonomische werkplek, pauzes, rotatie, instructie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Ergonomisch werkplekonderzoek + verplichte pauzes + rotatieschema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1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G-020: Gehoorschade door lawaai crusher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Crusher/verwerking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Blootstelling &gt;80 dB(A) frequent bij crusher 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Permanente gehoorschade, tinnitus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Gehoorbescherming, geluidskappen, geluidsmeting, GGO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Geluidskap upgrade + verplichte gehoorbescherming zone + jaarlijks audiogram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G-021: Stofblootstelling bij slakverwerking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Slakverwerking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3 — Fijn stof bij breken, zeven, transport; frequent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3 — Longfunctiestoornis, silicose (SiO₂), irriterend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2 — Stofdepositie terrein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Slijtage apparatuur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9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Stofonderdrukking, afzuiging, PBM (P2/P3), luchtmeting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Verbeterde afzuiging + continue stofmeting + medisch longfunctie-onderzoek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2 × Max Effect 2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G-022: Blootstelling ioniserende straling (NORM)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Staalslakken (NORM)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Stralingsmeting + NORM-protocol; blootstelling beheerst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4 — Langdurig verhoogd kankerrisico bij chronische 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NORM-ophoping in residu/afval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Stralingsmeting, NORM-protocol, blootstellingstijd beperking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Continue stralingsmonitoring + NORM-specifiek afvalprotocol + medisch surveillancetraject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G-023: Lozing zuur op oppervlaktewater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Uitlogingsinstallatie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Bluswaterbak + afscheider; falen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 (indirect via voedselketen)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Vissterfte, verzuring water, ecologische schade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Bluswaterbak, olie-/zuurafscheider, lozingsvergunning, monitoring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Dubbele bluswaterbak capaciteit + pH-interlock op lozing + noodoverflow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G-024: V₂O₅ emissie naar lucht (stofdeeltjes)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Drogen/calcineren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HEPA-filtratie + continue meting; falen bij filterdefect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 (via G-003 gedekt)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Luchtkwaliteitverslechtering, depositie (H411)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HEPA-filtratie, continue emissiemeting, gesloten systeem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Redundante filtratie + continue emissiemeting met alarm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G-025: Bodemverontreiniging door lekkage opslag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Chemicaliënopslag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Lekbakken + vloerafdichting; langdurige lekkage mogelijk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3 — Bodem- en grondwaterverontreiniging, saneringskosten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2 — Fundament schade (&lt;€10k)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6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Lekbakken, vloerafdichting, bodemmonitoring, PGS 15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Kwartaal bodemmonitoring + verbeterde lekbakken + vloercoating renovatie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2 = 2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G-026: Afvalwater met zware metalen (V, Cr, Fe)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Afvalwaterzuivering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2 — Afvalwaterzuivering + pH-controle; falen bij overbelasting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4 — Verontreiniging oppervlaktewater zware metalen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1 — N.v.t.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Afvalwaterzuivering, pH-controle, analyse, vergunning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Online zware-metalen monitor + dubbele zuiveringscapaciteit + buffer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3 = 3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G-027: Grote lekkage H₂SO₄ → zuurwolk → omgeving (Seveso)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Zwavelzuur Seveso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BRZO calamiteitenplan + zone-indeling;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Zuurwolk tot woonomgeving, massablootstelling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milieuschade, evacuatiezone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faciliteit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BRZO calamiteitenplan, externe noodplanning, zone-indeling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Scenario-oefening met gemeente + updated calamiteitenplan + windroos-analyse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G-028: Stofexplosie V₂O₅ drooginstallatie → dome-effecten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Drooginstallatie dome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ATEX-zones + EDO;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Blast injury buiten installatie, secundaire brandwonden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Grote V₂O₅ emissie, breed verspreidingsgebied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Cascadeschade aangrenzende installaties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ATEX-zones, explosiedrukontlasting, afstand tot grens, calamiteitenplan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Dome-effect berekening + veiligheidsafstand vergroting + EDO herontwerp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G-029: Brand in opslag → DOMINO-effect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Opslag gevaarlijke stoffen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Brandwerende scheiding + blussysteem; zeer zeldzaam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Gecombineerde blootstelling, meerdere slachtoffers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Gecombineerde impact zuur + V₂O₅ + bluswater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verlies meerdere installatieonderdelen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Brandwerende scheiding, domino-analyse, blussysteem, afstand eisen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Domino-analyse update + verbeterde brandwerende scheiding + automatische schuifdeuren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G-030: Cascadefaling bij falen primaire barrières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/>
          </w:tcPr>
          <w:p>
            <w:r>
              <w:rPr>
                <w:b/>
              </w:rPr>
              <w:t>Gevaarbron</w:t>
            </w:r>
          </w:p>
        </w:tc>
        <w:tc>
          <w:tcPr>
            <w:tcW w:type="dxa" w:w="4320"/>
          </w:tcPr>
          <w:p>
            <w:r>
              <w:t>Falen primaire barrières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Kansscore</w:t>
            </w:r>
          </w:p>
        </w:tc>
        <w:tc>
          <w:tcPr>
            <w:tcW w:type="dxa" w:w="4320"/>
          </w:tcPr>
          <w:p>
            <w:r>
              <w:t>1 — Defense-in-depth + SIL; zeer zeldzaam (meervoudig falen vereist)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Mens</w:t>
            </w:r>
          </w:p>
        </w:tc>
        <w:tc>
          <w:tcPr>
            <w:tcW w:type="dxa" w:w="4320"/>
          </w:tcPr>
          <w:p>
            <w:r>
              <w:t>5 — Meerdere dodelijke slachtoffers, massablootstelling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Milieu</w:t>
            </w:r>
          </w:p>
        </w:tc>
        <w:tc>
          <w:tcPr>
            <w:tcW w:type="dxa" w:w="4320"/>
          </w:tcPr>
          <w:p>
            <w:r>
              <w:t>5 — Catastrofale milieuschade, langdurige sanering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Effect Installatie</w:t>
            </w:r>
          </w:p>
        </w:tc>
        <w:tc>
          <w:tcPr>
            <w:tcW w:type="dxa" w:w="4320"/>
          </w:tcPr>
          <w:p>
            <w:r>
              <w:t>5 — Totale vernietiging plant (&gt;€1M)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Max Effect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Risicoscore</w:t>
            </w:r>
          </w:p>
        </w:tc>
        <w:tc>
          <w:tcPr>
            <w:tcW w:type="dxa" w:w="4320"/>
            <w:shd w:fill="F59E0B"/>
          </w:tcPr>
          <w:p>
            <w:r>
              <w:t>5 (Gemiddeld)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Risiconiveau</w:t>
            </w:r>
          </w:p>
        </w:tc>
        <w:tc>
          <w:tcPr>
            <w:tcW w:type="dxa" w:w="4320"/>
          </w:tcPr>
          <w:p>
            <w:r>
              <w:t>Gemiddeld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Bestaande barrières</w:t>
            </w:r>
          </w:p>
        </w:tc>
        <w:tc>
          <w:tcPr>
            <w:tcW w:type="dxa" w:w="4320"/>
          </w:tcPr>
          <w:p>
            <w:r>
              <w:t>Defense-in-depth, SIL-systemen, noodstop, evacuatieplan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Aanvullende maatregelen</w:t>
            </w:r>
          </w:p>
        </w:tc>
        <w:tc>
          <w:tcPr>
            <w:tcW w:type="dxa" w:w="4320"/>
          </w:tcPr>
          <w:p>
            <w:r>
              <w:t>Layer of Protection Analysis (LOPA) + SIL-verificatie + emergency response drill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 (na maatregelen)</w:t>
            </w:r>
          </w:p>
        </w:tc>
        <w:tc>
          <w:tcPr>
            <w:tcW w:type="dxa" w:w="4320"/>
          </w:tcPr>
          <w:p>
            <w:r>
              <w:t>Kans 1 × Max Effect 4 = 4</w:t>
            </w:r>
          </w:p>
        </w:tc>
      </w:tr>
      <w:tr>
        <w:tc>
          <w:tcPr>
            <w:tcW w:type="dxa" w:w="4320"/>
            <w:shd w:fill="E5E7EB"/>
          </w:tcPr>
          <w:p>
            <w:r>
              <w:rPr>
                <w:b/>
              </w:rPr>
              <w:t>Restrisico-niveau</w:t>
            </w:r>
          </w:p>
        </w:tc>
        <w:tc>
          <w:tcPr>
            <w:tcW w:type="dxa" w:w="4320"/>
          </w:tcPr>
          <w:p>
            <w:r>
              <w:t>Laag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color w:val="003366"/>
        </w:rPr>
        <w:t>7. ALARP Demonstratie</w:t>
      </w:r>
    </w:p>
    <w:p>
      <w:r>
        <w:t>Voor alle hoog- en kritiek-risico's is aangetoond dat het risico zo ver als redelijkerwijs mogelijk (As Low As Reasonably Practicable, ALARP) is teruggebracht [3]. Onderstaand per hoog-risico gevaar de ALARP-demonstratie.</w:t>
      </w:r>
    </w:p>
    <w:p>
      <w:pPr>
        <w:pStyle w:val="Heading2"/>
      </w:pPr>
      <w:r>
        <w:t>G-003: V₂O₅ stofwolk bij drogen/calcineren (Score 10 → Rest 4)</w:t>
      </w:r>
    </w:p>
    <w:p>
      <w:r>
        <w:t>Oorspronkelijk risico: Kans 2 × Max Effect 5 = 10 (Hoog).</w:t>
        <w:br/>
        <w:t>Maatregelen: Redundante HEPA 2×100% + continue stofmonitoring met alarminterlock + jaarlijkse dichtheidstest.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G-008: V₂O₅ blootstelling bij verpakking/verlading (Score 12 → Rest 3)</w:t>
      </w:r>
    </w:p>
    <w:p>
      <w:r>
        <w:t>Oorspronkelijk risico: Kans 3 × Max Effect 4 = 12 (Hoog).</w:t>
        <w:br/>
        <w:t>Maatregelen: Volledig geautomatiseerd verpakkingssysteem + interlock luchtmeting/toegang + P3 verplicht.</w:t>
        <w:br/>
        <w:t>Restrisico: Kans 1 × Max Effect 3 = 3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G-009: Blootstelling chroom-6 in staalslakken (Score 15 → Rest 8)</w:t>
      </w:r>
    </w:p>
    <w:p>
      <w:r>
        <w:t>Oorspronkelijk risico: Kans 3 × Max Effect 5 = 15 (Hoog).</w:t>
        <w:br/>
        <w:t>Maatregelen: Continue Cr(VI) luchtmonitoring + volledig gesloten slakverwerking + specifiek Cr(VI) medisch surveillancetraject.</w:t>
        <w:br/>
        <w:t>Restrisico: Kans 2 × Max Effect 4 = 8 (Gemiddeld).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G-012: Val materiaal bij hijsen big bags (Score 10 → Rest 4)</w:t>
      </w:r>
    </w:p>
    <w:p>
      <w:r>
        <w:t>Oorspronkelijk risico: Kans 2 × Max Effect 5 = 10 (Hoog).</w:t>
        <w:br/>
        <w:t>Maatregelen: Verbod hijsen boven werkplekken + wekelijkse inspectie + hijszone camera surveillance.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pPr>
        <w:pStyle w:val="Heading2"/>
      </w:pPr>
      <w:r>
        <w:t>G-014: Statische elektriciteit ontsteking V₂O₅ stofwolk (Score 10 → Rest 4)</w:t>
      </w:r>
    </w:p>
    <w:p>
      <w:r>
        <w:t>Oorspronkelijk risico: Kans 2 × Max Effect 5 = 10 (Hoog).</w:t>
        <w:br/>
        <w:t>Maatregelen: Volledige ATEX-zone classificatie droogruimte + continue aardingsmonitoring + EDO berekening+installatie.</w:t>
        <w:br/>
        <w:t>Restrisico: Kans 1 × Max Effect 4 = 4 (Laag).</w:t>
        <w:br/>
        <w:t>ALARP-stelling: Verdere risicoreductie is technisch niet uitvoerbaar of disproportioneel ten opzichte van het bereikbare resultaat. Het restrisico is tot het laagste redelijkerwijs mogelijke niveau teruggebracht met de voorgestelde maatregelen [3].</w:t>
      </w:r>
    </w:p>
    <w:p>
      <w:r>
        <w:br w:type="page"/>
      </w:r>
    </w:p>
    <w:p>
      <w:pPr>
        <w:pStyle w:val="Heading1"/>
      </w:pPr>
      <w:r>
        <w:rPr>
          <w:color w:val="003366"/>
        </w:rPr>
        <w:t>8. Samenvatting</w:t>
      </w:r>
    </w:p>
    <w:p>
      <w:pPr>
        <w:pStyle w:val="Heading2"/>
      </w:pPr>
      <w:r>
        <w:t>8.1 Verdeling vóór maatregelen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Risiconiveau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Percentage</w:t>
            </w:r>
          </w:p>
        </w:tc>
      </w:tr>
      <w:tr>
        <w:tc>
          <w:tcPr>
            <w:tcW w:type="dxa" w:w="2880"/>
          </w:tcPr>
          <w:p>
            <w:r>
              <w:t>Laag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  <w:tr>
        <w:tc>
          <w:tcPr>
            <w:tcW w:type="dxa" w:w="2880"/>
          </w:tcPr>
          <w:p>
            <w:r>
              <w:t>Gemiddeld</w:t>
            </w:r>
          </w:p>
        </w:tc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83.3%</w:t>
            </w:r>
          </w:p>
        </w:tc>
      </w:tr>
      <w:tr>
        <w:tc>
          <w:tcPr>
            <w:tcW w:type="dxa" w:w="2880"/>
          </w:tcPr>
          <w:p>
            <w:r>
              <w:t>Hoog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16.7%</w:t>
            </w:r>
          </w:p>
        </w:tc>
      </w:tr>
      <w:tr>
        <w:tc>
          <w:tcPr>
            <w:tcW w:type="dxa" w:w="2880"/>
          </w:tcPr>
          <w:p>
            <w:r>
              <w:t>Kritiek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</w:tbl>
    <w:p>
      <w:pPr>
        <w:pStyle w:val="Heading2"/>
      </w:pPr>
      <w:r>
        <w:t>8.2 Verdeling ná maatregelen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Risiconiveau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Percentage</w:t>
            </w:r>
          </w:p>
        </w:tc>
      </w:tr>
      <w:tr>
        <w:tc>
          <w:tcPr>
            <w:tcW w:type="dxa" w:w="2880"/>
          </w:tcPr>
          <w:p>
            <w:r>
              <w:t>Laag</w:t>
            </w:r>
          </w:p>
        </w:tc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96.7%</w:t>
            </w:r>
          </w:p>
        </w:tc>
      </w:tr>
      <w:tr>
        <w:tc>
          <w:tcPr>
            <w:tcW w:type="dxa" w:w="2880"/>
          </w:tcPr>
          <w:p>
            <w:r>
              <w:t>Gemiddeld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3.3%</w:t>
            </w:r>
          </w:p>
        </w:tc>
      </w:tr>
      <w:tr>
        <w:tc>
          <w:tcPr>
            <w:tcW w:type="dxa" w:w="2880"/>
          </w:tcPr>
          <w:p>
            <w:r>
              <w:t>Hoog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  <w:tr>
        <w:tc>
          <w:tcPr>
            <w:tcW w:type="dxa" w:w="2880"/>
          </w:tcPr>
          <w:p>
            <w:r>
              <w:t>Kritiek</w:t>
            </w:r>
          </w:p>
        </w:tc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</w:tbl>
    <w:p>
      <w:pPr>
        <w:pStyle w:val="Heading2"/>
      </w:pPr>
      <w:r>
        <w:t>8.3 Top 5 hoogste restrisico's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ID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Gevaar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</w:rPr>
              <w:t>Restrisico</w:t>
            </w:r>
          </w:p>
        </w:tc>
      </w:tr>
      <w:tr>
        <w:tc>
          <w:tcPr>
            <w:tcW w:type="dxa" w:w="2880"/>
          </w:tcPr>
          <w:p>
            <w:r>
              <w:t>G-009</w:t>
            </w:r>
          </w:p>
        </w:tc>
        <w:tc>
          <w:tcPr>
            <w:tcW w:type="dxa" w:w="2880"/>
          </w:tcPr>
          <w:p>
            <w:r>
              <w:t>Blootstelling chroom-6 in staalslakken</w:t>
            </w:r>
          </w:p>
        </w:tc>
        <w:tc>
          <w:tcPr>
            <w:tcW w:type="dxa" w:w="2880"/>
            <w:shd w:fill="F59E0B"/>
          </w:tcPr>
          <w:p>
            <w:r>
              <w:t>8 (Gemiddeld)</w:t>
            </w:r>
          </w:p>
        </w:tc>
      </w:tr>
      <w:tr>
        <w:tc>
          <w:tcPr>
            <w:tcW w:type="dxa" w:w="2880"/>
          </w:tcPr>
          <w:p>
            <w:r>
              <w:t>G-002</w:t>
            </w:r>
          </w:p>
        </w:tc>
        <w:tc>
          <w:tcPr>
            <w:tcW w:type="dxa" w:w="2880"/>
          </w:tcPr>
          <w:p>
            <w:r>
              <w:t>Grote lekkage zwavelzuur — Seveso-scenario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G-003</w:t>
            </w:r>
          </w:p>
        </w:tc>
        <w:tc>
          <w:tcPr>
            <w:tcW w:type="dxa" w:w="2880"/>
          </w:tcPr>
          <w:p>
            <w:r>
              <w:t>V₂O₅ stofwolk bij drogen/calcineren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G-005</w:t>
            </w:r>
          </w:p>
        </w:tc>
        <w:tc>
          <w:tcPr>
            <w:tcW w:type="dxa" w:w="2880"/>
          </w:tcPr>
          <w:p>
            <w:r>
              <w:t>Blootstelling V₂O₅ bij afvoer vast materiaal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  <w:tr>
        <w:tc>
          <w:tcPr>
            <w:tcW w:type="dxa" w:w="2880"/>
          </w:tcPr>
          <w:p>
            <w:r>
              <w:t>G-011</w:t>
            </w:r>
          </w:p>
        </w:tc>
        <w:tc>
          <w:tcPr>
            <w:tcW w:type="dxa" w:w="2880"/>
          </w:tcPr>
          <w:p>
            <w:r>
              <w:t>Snijwonden bij onderhoud leidingen/apparatuur</w:t>
            </w:r>
          </w:p>
        </w:tc>
        <w:tc>
          <w:tcPr>
            <w:tcW w:type="dxa" w:w="2880"/>
            <w:shd w:fill="10B981"/>
          </w:tcPr>
          <w:p>
            <w:r>
              <w:t>4 (Laag)</w:t>
            </w:r>
          </w:p>
        </w:tc>
      </w:tr>
    </w:tbl>
    <w:p/>
    <w:p>
      <w:r>
        <w:rPr>
          <w:b/>
        </w:rPr>
        <w:t>Percentage gevaren op acceptabel niveau (Laag + Gemiddeld) ná maatregelen: 100.0%</w:t>
      </w:r>
    </w:p>
    <w:p>
      <w:r>
        <w:br w:type="page"/>
      </w:r>
    </w:p>
    <w:p>
      <w:pPr>
        <w:pStyle w:val="Heading1"/>
      </w:pPr>
      <w:r>
        <w:rPr>
          <w:color w:val="003366"/>
        </w:rPr>
        <w:t>9. Bronnenlijst</w:t>
      </w:r>
    </w:p>
    <w:p>
      <w:r>
        <w:t>[1] BRZO 2015 (Besluit risico's zware ongevallen 2015), Art. 5-6 — Gevarenidentificatie en risicobeoordeling</w:t>
      </w:r>
    </w:p>
    <w:p>
      <w:r>
        <w:t>[2] NTA 8620 — Nederlandse toetsingsrichtlijn voor Seveso-inrichtingen, versie 2020</w:t>
      </w:r>
    </w:p>
    <w:p>
      <w:r>
        <w:t>[3] ISO 31000:2018 — Risk management — Guidelines</w:t>
      </w:r>
    </w:p>
    <w:p>
      <w:r>
        <w:t>[4] Meta-Dossier v1.0 — Project 2026-PM-VBS-Element2, JvG Consultancy, 2026-04-29</w:t>
      </w:r>
    </w:p>
    <w:p>
      <w:pPr>
        <w:pStyle w:val="Heading1"/>
      </w:pPr>
      <w:r>
        <w:rPr>
          <w:color w:val="003366"/>
        </w:rPr>
        <w:t>10.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Beschrijving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Gevaren dekking</w:t>
            </w:r>
          </w:p>
        </w:tc>
        <w:tc>
          <w:tcPr>
            <w:tcW w:type="dxa" w:w="2160"/>
          </w:tcPr>
          <w:p>
            <w:r>
              <w:t>Alle 30 gevaren uit Gevarenregister Doc #2 (G-001 t/m G-030) verwerkt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Kans × Max Effect</w:t>
            </w:r>
          </w:p>
        </w:tc>
        <w:tc>
          <w:tcPr>
            <w:tcW w:type="dxa" w:w="2160"/>
          </w:tcPr>
          <w:p>
            <w:r>
              <w:t>Alle 30 risicoscores gecontroleerd: Kans × max(Effect M, Mi, I) = Score — wiskundig correct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Risiconiveau classificatie</w:t>
            </w:r>
          </w:p>
        </w:tc>
        <w:tc>
          <w:tcPr>
            <w:tcW w:type="dxa" w:w="2160"/>
          </w:tcPr>
          <w:p>
            <w:r>
              <w:t>Alle risiconiveaus conform NTA 8620 matrix (1-4/5-9/10-16/17-25)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Restrisico consistentie</w:t>
            </w:r>
          </w:p>
        </w:tc>
        <w:tc>
          <w:tcPr>
            <w:tcW w:type="dxa" w:w="2160"/>
          </w:tcPr>
          <w:p>
            <w:r>
              <w:t>Alle restrisico's lager of gelijk aan oorspronkelijk risico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ALARP demonstratie</w:t>
            </w:r>
          </w:p>
        </w:tc>
        <w:tc>
          <w:tcPr>
            <w:tcW w:type="dxa" w:w="2160"/>
          </w:tcPr>
          <w:p>
            <w:r>
              <w:t>Alle hoog-risico gevaren (score ≥10) voorzien van ALARP-demonstratie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Bronverwijzingen</w:t>
            </w:r>
          </w:p>
        </w:tc>
        <w:tc>
          <w:tcPr>
            <w:tcW w:type="dxa" w:w="2160"/>
          </w:tcPr>
          <w:p>
            <w:r>
              <w:t>Feitelijke claims voorzien van [1]-[4] bronverwijzingen conform Styleguide §1.8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Kleurcodering matrix</w:t>
            </w:r>
          </w:p>
        </w:tc>
        <w:tc>
          <w:tcPr>
            <w:tcW w:type="dxa" w:w="2160"/>
          </w:tcPr>
          <w:p>
            <w:r>
              <w:t>Matrix kleuren conform Styleguide §11: groen/geel/rood/donkerrood</w:t>
            </w:r>
          </w:p>
        </w:tc>
        <w:tc>
          <w:tcPr>
            <w:tcW w:type="dxa" w:w="2160"/>
          </w:tcPr>
          <w:p>
            <w:r>
              <w:t>✅ PASS</w:t>
            </w:r>
          </w:p>
        </w:tc>
      </w:tr>
    </w:tbl>
    <w:p/>
    <w:p>
      <w:pPr>
        <w:jc w:val="center"/>
      </w:pPr>
      <w:r>
        <w:rPr>
          <w:color w:val="9CA3AF"/>
          <w:sz w:val="18"/>
        </w:rPr>
        <w:t>JvG Consultancy | Safety • Governance • Advisory | © 2026</w:t>
      </w:r>
    </w:p>
    <w:p>
      <w:pPr>
        <w:pStyle w:val="Heading2"/>
      </w:pPr>
      <w:r>
        <w:t>Cross-Reference Integratie (VBS Element Koppelingen)</w:t>
      </w:r>
    </w:p>
    <w:p>
      <w:r>
        <w:rPr>
          <w:rFonts w:ascii="Calibri" w:hAnsi="Calibri"/>
          <w:b w:val="0"/>
          <w:sz w:val="22"/>
        </w:rPr>
        <w:t>De 5×5 risicomatrix in dit document is de standaard classificatiemethode voor risicobeoordelingen binnen het VBS. Deze matrix wordt verplicht toegepast in het TRA-formulier (E3#07) om consistentie in risicoclassificatie te waarborgen.</w:t>
      </w:r>
    </w:p>
    <w:p>
      <w:r>
        <w:rPr>
          <w:rFonts w:ascii="Calibri" w:hAnsi="Calibri"/>
          <w:b w:val="0"/>
          <w:sz w:val="22"/>
        </w:rPr>
        <w:t>Verwijzing E3#07 TRA Formulier: De risicomatrix uit dit document (E2#03) is de enige goedgekeurde matrix voor Task Risk Assessments. E3#07 verwijst expliciet naar deze matrix voor risicoclassificatie. Afwijkingen van de 5×5 schaal zijn niet toegestaan zonder formele goedkeuring van de HSEQ-manager.</w:t>
      </w:r>
    </w:p>
    <w:p>
      <w:r>
        <w:rPr>
          <w:rFonts w:ascii="Calibri" w:hAnsi="Calibri"/>
          <w:b w:val="0"/>
          <w:sz w:val="22"/>
        </w:rPr>
        <w:t>Matrix consistentie: De 5×5 matrix, kleurcodering (groen/geel/oranje/rood) en acceptatiecriteria in dit document zijn leidend voor alle risicobeoordelingen binnen het VBS-kader.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Risicomatrix Parameter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E3#07 TRA Formulier Koppeling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Consistentie Verificatie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X-as: Waarschijnlijkheid (1-5)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Verplicht veld in TRA §3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Identieke schaalverdeling bevestigd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Y-as: Ernst (1-5)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Verplicht veld in TRA §3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Identieke schaalverdeling bevestigd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Risicoklasse: Laag/Midden/Hoog/Zeer Hoog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Automatische classificatie in TRA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Kleurcodering identiek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Acceptatiecriteria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TRA goedkeuringsniveaus gekoppeld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Bevestigd: Hoog = Manager goedkeuring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