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color w:val="003366"/>
          <w:sz w:val="44"/>
        </w:rPr>
        <w:t>Beleidsherzieningstriggers</w:t>
      </w:r>
    </w:p>
    <w:p>
      <w:pPr>
        <w:jc w:val="center"/>
      </w:pPr>
      <w:r>
        <w:rPr>
          <w:color w:val="1F2937"/>
          <w:sz w:val="28"/>
        </w:rPr>
        <w:t>VBS Element 1 — Preventiebeleid &amp; Organisatie</w:t>
        <w:br/>
        <w:t>Proactief &amp; Reactief Herzieningsbeleid</w:t>
      </w:r>
    </w:p>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Veld</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Project</w:t>
            </w:r>
          </w:p>
        </w:tc>
        <w:tc>
          <w:tcPr>
            <w:tcW w:type="dxa" w:w="4703"/>
          </w:tcPr>
          <w:p>
            <w:r>
              <w:rPr>
                <w:rFonts w:ascii="Calibri" w:hAnsi="Calibri"/>
                <w:sz w:val="20"/>
              </w:rPr>
              <w:t>Phoenix Metals VBS Element 1</w:t>
            </w:r>
          </w:p>
        </w:tc>
      </w:tr>
      <w:tr>
        <w:tc>
          <w:tcPr>
            <w:tcW w:type="dxa" w:w="4703"/>
            <w:shd w:fill="F8F9FA"/>
          </w:tcPr>
          <w:p>
            <w:r>
              <w:rPr>
                <w:rFonts w:ascii="Calibri" w:hAnsi="Calibri"/>
                <w:sz w:val="20"/>
              </w:rPr>
              <w:t>Documentcode</w:t>
            </w:r>
          </w:p>
        </w:tc>
        <w:tc>
          <w:tcPr>
            <w:tcW w:type="dxa" w:w="4703"/>
            <w:shd w:fill="F8F9FA"/>
          </w:tcPr>
          <w:p>
            <w:r>
              <w:rPr>
                <w:rFonts w:ascii="Calibri" w:hAnsi="Calibri"/>
                <w:sz w:val="20"/>
              </w:rPr>
              <w:t>PM_VBS01_16</w:t>
            </w:r>
          </w:p>
        </w:tc>
      </w:tr>
      <w:tr>
        <w:tc>
          <w:tcPr>
            <w:tcW w:type="dxa" w:w="4703"/>
          </w:tcPr>
          <w:p>
            <w:r>
              <w:rPr>
                <w:rFonts w:ascii="Calibri" w:hAnsi="Calibri"/>
                <w:sz w:val="20"/>
              </w:rPr>
              <w:t>Versie</w:t>
            </w:r>
          </w:p>
        </w:tc>
        <w:tc>
          <w:tcPr>
            <w:tcW w:type="dxa" w:w="4703"/>
          </w:tcPr>
          <w:p>
            <w:r>
              <w:rPr>
                <w:rFonts w:ascii="Calibri" w:hAnsi="Calibri"/>
                <w:sz w:val="20"/>
              </w:rPr>
              <w:t>1.0</w:t>
            </w:r>
          </w:p>
        </w:tc>
      </w:tr>
      <w:tr>
        <w:tc>
          <w:tcPr>
            <w:tcW w:type="dxa" w:w="4703"/>
            <w:shd w:fill="F8F9FA"/>
          </w:tcPr>
          <w:p>
            <w:r>
              <w:rPr>
                <w:rFonts w:ascii="Calibri" w:hAnsi="Calibri"/>
                <w:sz w:val="20"/>
              </w:rPr>
              <w:t>Datum</w:t>
            </w:r>
          </w:p>
        </w:tc>
        <w:tc>
          <w:tcPr>
            <w:tcW w:type="dxa" w:w="4703"/>
            <w:shd w:fill="F8F9FA"/>
          </w:tcPr>
          <w:p>
            <w:r>
              <w:rPr>
                <w:rFonts w:ascii="Calibri" w:hAnsi="Calibri"/>
                <w:sz w:val="20"/>
              </w:rPr>
              <w:t>2026-04-29</w:t>
            </w:r>
          </w:p>
        </w:tc>
      </w:tr>
      <w:tr>
        <w:tc>
          <w:tcPr>
            <w:tcW w:type="dxa" w:w="4703"/>
          </w:tcPr>
          <w:p>
            <w:r>
              <w:rPr>
                <w:rFonts w:ascii="Calibri" w:hAnsi="Calibri"/>
                <w:sz w:val="20"/>
              </w:rPr>
              <w:t>Status</w:t>
            </w:r>
          </w:p>
        </w:tc>
        <w:tc>
          <w:tcPr>
            <w:tcW w:type="dxa" w:w="4703"/>
          </w:tcPr>
          <w:p>
            <w:r>
              <w:rPr>
                <w:rFonts w:ascii="Calibri" w:hAnsi="Calibri"/>
                <w:sz w:val="20"/>
              </w:rPr>
              <w:t>Final</w:t>
            </w:r>
          </w:p>
        </w:tc>
      </w:tr>
      <w:tr>
        <w:tc>
          <w:tcPr>
            <w:tcW w:type="dxa" w:w="4703"/>
            <w:shd w:fill="F8F9FA"/>
          </w:tcPr>
          <w:p>
            <w:r>
              <w:rPr>
                <w:rFonts w:ascii="Calibri" w:hAnsi="Calibri"/>
                <w:sz w:val="20"/>
              </w:rPr>
              <w:t>Auteur</w:t>
            </w:r>
          </w:p>
        </w:tc>
        <w:tc>
          <w:tcPr>
            <w:tcW w:type="dxa" w:w="4703"/>
            <w:shd w:fill="F8F9FA"/>
          </w:tcPr>
          <w:p>
            <w:r>
              <w:rPr>
                <w:rFonts w:ascii="Calibri" w:hAnsi="Calibri"/>
                <w:sz w:val="20"/>
              </w:rPr>
              <w:t>JvG Consultancy</w:t>
            </w:r>
          </w:p>
        </w:tc>
      </w:tr>
      <w:tr>
        <w:tc>
          <w:tcPr>
            <w:tcW w:type="dxa" w:w="4703"/>
          </w:tcPr>
          <w:p>
            <w:r>
              <w:rPr>
                <w:rFonts w:ascii="Calibri" w:hAnsi="Calibri"/>
                <w:sz w:val="20"/>
              </w:rPr>
              <w:t>Goedgekeurd door</w:t>
            </w:r>
          </w:p>
        </w:tc>
        <w:tc>
          <w:tcPr>
            <w:tcW w:type="dxa" w:w="4703"/>
          </w:tcPr>
          <w:p>
            <w:r>
              <w:rPr>
                <w:rFonts w:ascii="Calibri" w:hAnsi="Calibri"/>
                <w:sz w:val="20"/>
              </w:rPr>
              <w:t>Directie</w:t>
            </w:r>
          </w:p>
        </w:tc>
      </w:tr>
    </w:tbl>
    <w:p/>
    <w:p>
      <w:pPr>
        <w:pStyle w:val="Heading2"/>
      </w:pPr>
      <w:r>
        <w:rPr>
          <w:color w:val="003366"/>
        </w:rPr>
        <w:t>Distributie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Rol</w:t>
            </w:r>
          </w:p>
        </w:tc>
        <w:tc>
          <w:tcPr>
            <w:tcW w:type="dxa" w:w="4703"/>
            <w:shd w:fill="003366"/>
          </w:tcPr>
          <w:p>
            <w:r>
              <w:rPr>
                <w:rFonts w:ascii="Calibri" w:hAnsi="Calibri"/>
                <w:b/>
                <w:color w:val="FFFFFF"/>
                <w:sz w:val="20"/>
              </w:rPr>
              <w:t>Naam/Functie</w:t>
            </w:r>
          </w:p>
        </w:tc>
      </w:tr>
      <w:tr>
        <w:tc>
          <w:tcPr>
            <w:tcW w:type="dxa" w:w="4703"/>
          </w:tcPr>
          <w:p>
            <w:r>
              <w:rPr>
                <w:rFonts w:ascii="Calibri" w:hAnsi="Calibri"/>
                <w:sz w:val="20"/>
              </w:rPr>
              <w:t>Directie</w:t>
            </w:r>
          </w:p>
        </w:tc>
        <w:tc>
          <w:tcPr>
            <w:tcW w:type="dxa" w:w="4703"/>
          </w:tcPr>
          <w:p>
            <w:r>
              <w:rPr>
                <w:rFonts w:ascii="Calibri" w:hAnsi="Calibri"/>
                <w:sz w:val="20"/>
              </w:rPr>
              <w:t>Directeur</w:t>
            </w:r>
          </w:p>
        </w:tc>
      </w:tr>
      <w:tr>
        <w:tc>
          <w:tcPr>
            <w:tcW w:type="dxa" w:w="4703"/>
            <w:shd w:fill="F8F9FA"/>
          </w:tcPr>
          <w:p>
            <w:r>
              <w:rPr>
                <w:rFonts w:ascii="Calibri" w:hAnsi="Calibri"/>
                <w:sz w:val="20"/>
              </w:rPr>
              <w:t>HSE Manager</w:t>
            </w:r>
          </w:p>
        </w:tc>
        <w:tc>
          <w:tcPr>
            <w:tcW w:type="dxa" w:w="4703"/>
            <w:shd w:fill="F8F9FA"/>
          </w:tcPr>
          <w:p>
            <w:r>
              <w:rPr>
                <w:rFonts w:ascii="Calibri" w:hAnsi="Calibri"/>
                <w:sz w:val="20"/>
              </w:rPr>
              <w:t>HSE Manager</w:t>
            </w:r>
          </w:p>
        </w:tc>
      </w:tr>
      <w:tr>
        <w:tc>
          <w:tcPr>
            <w:tcW w:type="dxa" w:w="4703"/>
          </w:tcPr>
          <w:p>
            <w:r>
              <w:rPr>
                <w:rFonts w:ascii="Calibri" w:hAnsi="Calibri"/>
                <w:sz w:val="20"/>
              </w:rPr>
              <w:t>OR / Medezeggenschap</w:t>
            </w:r>
          </w:p>
        </w:tc>
        <w:tc>
          <w:tcPr>
            <w:tcW w:type="dxa" w:w="4703"/>
          </w:tcPr>
          <w:p>
            <w:r>
              <w:rPr>
                <w:rFonts w:ascii="Calibri" w:hAnsi="Calibri"/>
                <w:sz w:val="20"/>
              </w:rPr>
              <w:t>Werknemersvertegenwoordigers</w:t>
            </w:r>
          </w:p>
        </w:tc>
      </w:tr>
      <w:tr>
        <w:tc>
          <w:tcPr>
            <w:tcW w:type="dxa" w:w="4703"/>
            <w:shd w:fill="F8F9FA"/>
          </w:tcPr>
          <w:p>
            <w:r>
              <w:rPr>
                <w:rFonts w:ascii="Calibri" w:hAnsi="Calibri"/>
                <w:sz w:val="20"/>
              </w:rPr>
              <w:t>Alle medewerkers</w:t>
            </w:r>
          </w:p>
        </w:tc>
        <w:tc>
          <w:tcPr>
            <w:tcW w:type="dxa" w:w="4703"/>
            <w:shd w:fill="F8F9FA"/>
          </w:tcPr>
          <w:p>
            <w:r>
              <w:rPr>
                <w:rFonts w:ascii="Calibri" w:hAnsi="Calibri"/>
                <w:sz w:val="20"/>
              </w:rPr>
              <w:t>Via intranet</w:t>
            </w:r>
          </w:p>
        </w:tc>
      </w:tr>
    </w:tbl>
    <w:p>
      <w:r>
        <w:br w:type="page"/>
      </w:r>
    </w:p>
    <w:p>
      <w:pPr>
        <w:pStyle w:val="Heading1"/>
      </w:pPr>
      <w:r>
        <w:rPr>
          <w:color w:val="003366"/>
        </w:rPr>
        <w:t>Inhoudsopgave</w:t>
      </w:r>
    </w:p>
    <w:p>
      <w:r>
        <w:t>[Wordt bijgewerkt na finalisatie]</w:t>
      </w:r>
    </w:p>
    <w:p>
      <w:r>
        <w:br w:type="page"/>
      </w:r>
    </w:p>
    <w:p>
      <w:pPr>
        <w:pStyle w:val="Heading1"/>
      </w:pPr>
      <w:r>
        <w:rPr>
          <w:color w:val="003366"/>
        </w:rPr>
        <w:t>1. Inleiding</w:t>
      </w:r>
    </w:p>
    <w:p>
      <w:r>
        <w:t>Dit document definieert wanneer en hoe VBS-beleid wordt herzien. Het onderscheidt proactieve herzieningen (gepland, cyclisch) en reactieve herzieningen (na incidenten, bevindingen of externe wijzigingen). Het waarborgt dat het VBS actueel blijft en aansluit bij veranderende risico's en regelgeving.</w:t>
      </w:r>
    </w:p>
    <w:p>
      <w:pPr>
        <w:pStyle w:val="Heading1"/>
      </w:pPr>
      <w:r>
        <w:rPr>
          <w:color w:val="003366"/>
        </w:rPr>
        <w:t>2. Triggers voor Beleidsherziening</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fill="003366"/>
          </w:tcPr>
          <w:p>
            <w:r>
              <w:rPr>
                <w:rFonts w:ascii="Calibri" w:hAnsi="Calibri"/>
                <w:b/>
                <w:color w:val="FFFFFF"/>
                <w:sz w:val="20"/>
              </w:rPr>
              <w:t>Trigger</w:t>
            </w:r>
          </w:p>
        </w:tc>
        <w:tc>
          <w:tcPr>
            <w:tcW w:type="dxa" w:w="1881"/>
            <w:shd w:fill="003366"/>
          </w:tcPr>
          <w:p>
            <w:r>
              <w:rPr>
                <w:rFonts w:ascii="Calibri" w:hAnsi="Calibri"/>
                <w:b/>
                <w:color w:val="FFFFFF"/>
                <w:sz w:val="20"/>
              </w:rPr>
              <w:t>Type</w:t>
            </w:r>
          </w:p>
        </w:tc>
        <w:tc>
          <w:tcPr>
            <w:tcW w:type="dxa" w:w="1881"/>
            <w:shd w:fill="003366"/>
          </w:tcPr>
          <w:p>
            <w:r>
              <w:rPr>
                <w:rFonts w:ascii="Calibri" w:hAnsi="Calibri"/>
                <w:b/>
                <w:color w:val="FFFFFF"/>
                <w:sz w:val="20"/>
              </w:rPr>
              <w:t>Betrokken Elementen</w:t>
            </w:r>
          </w:p>
        </w:tc>
        <w:tc>
          <w:tcPr>
            <w:tcW w:type="dxa" w:w="1881"/>
            <w:shd w:fill="003366"/>
          </w:tcPr>
          <w:p>
            <w:r>
              <w:rPr>
                <w:rFonts w:ascii="Calibri" w:hAnsi="Calibri"/>
                <w:b/>
                <w:color w:val="FFFFFF"/>
                <w:sz w:val="20"/>
              </w:rPr>
              <w:t>Termijn</w:t>
            </w:r>
          </w:p>
        </w:tc>
        <w:tc>
          <w:tcPr>
            <w:tcW w:type="dxa" w:w="1881"/>
            <w:shd w:fill="003366"/>
          </w:tcPr>
          <w:p>
            <w:r>
              <w:rPr>
                <w:rFonts w:ascii="Calibri" w:hAnsi="Calibri"/>
                <w:b/>
                <w:color w:val="FFFFFF"/>
                <w:sz w:val="20"/>
              </w:rPr>
              <w:t>Verantwoordelijke</w:t>
            </w:r>
          </w:p>
        </w:tc>
      </w:tr>
      <w:tr>
        <w:tc>
          <w:tcPr>
            <w:tcW w:type="dxa" w:w="1881"/>
          </w:tcPr>
          <w:p>
            <w:r>
              <w:rPr>
                <w:rFonts w:ascii="Calibri" w:hAnsi="Calibri"/>
                <w:sz w:val="20"/>
              </w:rPr>
              <w:t>Wetgevingwijziging</w:t>
            </w:r>
          </w:p>
        </w:tc>
        <w:tc>
          <w:tcPr>
            <w:tcW w:type="dxa" w:w="1881"/>
          </w:tcPr>
          <w:p>
            <w:r>
              <w:rPr>
                <w:rFonts w:ascii="Calibri" w:hAnsi="Calibri"/>
                <w:sz w:val="20"/>
              </w:rPr>
              <w:t>Reactief</w:t>
            </w:r>
          </w:p>
        </w:tc>
        <w:tc>
          <w:tcPr>
            <w:tcW w:type="dxa" w:w="1881"/>
          </w:tcPr>
          <w:p>
            <w:r>
              <w:rPr>
                <w:rFonts w:ascii="Calibri" w:hAnsi="Calibri"/>
                <w:sz w:val="20"/>
              </w:rPr>
              <w:t>Alle elementen</w:t>
            </w:r>
          </w:p>
        </w:tc>
        <w:tc>
          <w:tcPr>
            <w:tcW w:type="dxa" w:w="1881"/>
          </w:tcPr>
          <w:p>
            <w:r>
              <w:rPr>
                <w:rFonts w:ascii="Calibri" w:hAnsi="Calibri"/>
                <w:sz w:val="20"/>
              </w:rPr>
              <w:t>Binnen implementatietermijn</w:t>
            </w:r>
          </w:p>
        </w:tc>
        <w:tc>
          <w:tcPr>
            <w:tcW w:type="dxa" w:w="1881"/>
          </w:tcPr>
          <w:p>
            <w:r>
              <w:rPr>
                <w:rFonts w:ascii="Calibri" w:hAnsi="Calibri"/>
                <w:sz w:val="20"/>
              </w:rPr>
              <w:t>HSE Manager</w:t>
            </w:r>
          </w:p>
        </w:tc>
      </w:tr>
      <w:tr>
        <w:tc>
          <w:tcPr>
            <w:tcW w:type="dxa" w:w="1881"/>
            <w:shd w:fill="F8F9FA"/>
          </w:tcPr>
          <w:p>
            <w:r>
              <w:rPr>
                <w:rFonts w:ascii="Calibri" w:hAnsi="Calibri"/>
                <w:sz w:val="20"/>
              </w:rPr>
              <w:t>Major incident</w:t>
            </w:r>
          </w:p>
        </w:tc>
        <w:tc>
          <w:tcPr>
            <w:tcW w:type="dxa" w:w="1881"/>
            <w:shd w:fill="F8F9FA"/>
          </w:tcPr>
          <w:p>
            <w:r>
              <w:rPr>
                <w:rFonts w:ascii="Calibri" w:hAnsi="Calibri"/>
                <w:sz w:val="20"/>
              </w:rPr>
              <w:t>Reactief</w:t>
            </w:r>
          </w:p>
        </w:tc>
        <w:tc>
          <w:tcPr>
            <w:tcW w:type="dxa" w:w="1881"/>
            <w:shd w:fill="F8F9FA"/>
          </w:tcPr>
          <w:p>
            <w:r>
              <w:rPr>
                <w:rFonts w:ascii="Calibri" w:hAnsi="Calibri"/>
                <w:sz w:val="20"/>
              </w:rPr>
              <w:t>VI, I, III, IV</w:t>
            </w:r>
          </w:p>
        </w:tc>
        <w:tc>
          <w:tcPr>
            <w:tcW w:type="dxa" w:w="1881"/>
            <w:shd w:fill="F8F9FA"/>
          </w:tcPr>
          <w:p>
            <w:r>
              <w:rPr>
                <w:rFonts w:ascii="Calibri" w:hAnsi="Calibri"/>
                <w:sz w:val="20"/>
              </w:rPr>
              <w:t>Binnen 30 dagen</w:t>
            </w:r>
          </w:p>
        </w:tc>
        <w:tc>
          <w:tcPr>
            <w:tcW w:type="dxa" w:w="1881"/>
            <w:shd w:fill="F8F9FA"/>
          </w:tcPr>
          <w:p>
            <w:r>
              <w:rPr>
                <w:rFonts w:ascii="Calibri" w:hAnsi="Calibri"/>
                <w:sz w:val="20"/>
              </w:rPr>
              <w:t>Directie</w:t>
            </w:r>
          </w:p>
        </w:tc>
      </w:tr>
      <w:tr>
        <w:tc>
          <w:tcPr>
            <w:tcW w:type="dxa" w:w="1881"/>
          </w:tcPr>
          <w:p>
            <w:r>
              <w:rPr>
                <w:rFonts w:ascii="Calibri" w:hAnsi="Calibri"/>
                <w:sz w:val="20"/>
              </w:rPr>
              <w:t>Audit non-conformiteit (major)</w:t>
            </w:r>
          </w:p>
        </w:tc>
        <w:tc>
          <w:tcPr>
            <w:tcW w:type="dxa" w:w="1881"/>
          </w:tcPr>
          <w:p>
            <w:r>
              <w:rPr>
                <w:rFonts w:ascii="Calibri" w:hAnsi="Calibri"/>
                <w:sz w:val="20"/>
              </w:rPr>
              <w:t>Reactief</w:t>
            </w:r>
          </w:p>
        </w:tc>
        <w:tc>
          <w:tcPr>
            <w:tcW w:type="dxa" w:w="1881"/>
          </w:tcPr>
          <w:p>
            <w:r>
              <w:rPr>
                <w:rFonts w:ascii="Calibri" w:hAnsi="Calibri"/>
                <w:sz w:val="20"/>
              </w:rPr>
              <w:t>Specifiek element</w:t>
            </w:r>
          </w:p>
        </w:tc>
        <w:tc>
          <w:tcPr>
            <w:tcW w:type="dxa" w:w="1881"/>
          </w:tcPr>
          <w:p>
            <w:r>
              <w:rPr>
                <w:rFonts w:ascii="Calibri" w:hAnsi="Calibri"/>
                <w:sz w:val="20"/>
              </w:rPr>
              <w:t>Binnen 14 dagen</w:t>
            </w:r>
          </w:p>
        </w:tc>
        <w:tc>
          <w:tcPr>
            <w:tcW w:type="dxa" w:w="1881"/>
          </w:tcPr>
          <w:p>
            <w:r>
              <w:rPr>
                <w:rFonts w:ascii="Calibri" w:hAnsi="Calibri"/>
                <w:sz w:val="20"/>
              </w:rPr>
              <w:t>HSE Manager</w:t>
            </w:r>
          </w:p>
        </w:tc>
      </w:tr>
      <w:tr>
        <w:tc>
          <w:tcPr>
            <w:tcW w:type="dxa" w:w="1881"/>
            <w:shd w:fill="F8F9FA"/>
          </w:tcPr>
          <w:p>
            <w:r>
              <w:rPr>
                <w:rFonts w:ascii="Calibri" w:hAnsi="Calibri"/>
                <w:sz w:val="20"/>
              </w:rPr>
              <w:t>Reorganisatie</w:t>
            </w:r>
          </w:p>
        </w:tc>
        <w:tc>
          <w:tcPr>
            <w:tcW w:type="dxa" w:w="1881"/>
            <w:shd w:fill="F8F9FA"/>
          </w:tcPr>
          <w:p>
            <w:r>
              <w:rPr>
                <w:rFonts w:ascii="Calibri" w:hAnsi="Calibri"/>
                <w:sz w:val="20"/>
              </w:rPr>
              <w:t>Reactief</w:t>
            </w:r>
          </w:p>
        </w:tc>
        <w:tc>
          <w:tcPr>
            <w:tcW w:type="dxa" w:w="1881"/>
            <w:shd w:fill="F8F9FA"/>
          </w:tcPr>
          <w:p>
            <w:r>
              <w:rPr>
                <w:rFonts w:ascii="Calibri" w:hAnsi="Calibri"/>
                <w:sz w:val="20"/>
              </w:rPr>
              <w:t>I, II, III</w:t>
            </w:r>
          </w:p>
        </w:tc>
        <w:tc>
          <w:tcPr>
            <w:tcW w:type="dxa" w:w="1881"/>
            <w:shd w:fill="F8F9FA"/>
          </w:tcPr>
          <w:p>
            <w:r>
              <w:rPr>
                <w:rFonts w:ascii="Calibri" w:hAnsi="Calibri"/>
                <w:sz w:val="20"/>
              </w:rPr>
              <w:t>Binnen 60 dagen</w:t>
            </w:r>
          </w:p>
        </w:tc>
        <w:tc>
          <w:tcPr>
            <w:tcW w:type="dxa" w:w="1881"/>
            <w:shd w:fill="F8F9FA"/>
          </w:tcPr>
          <w:p>
            <w:r>
              <w:rPr>
                <w:rFonts w:ascii="Calibri" w:hAnsi="Calibri"/>
                <w:sz w:val="20"/>
              </w:rPr>
              <w:t>Directie</w:t>
            </w:r>
          </w:p>
        </w:tc>
      </w:tr>
      <w:tr>
        <w:tc>
          <w:tcPr>
            <w:tcW w:type="dxa" w:w="1881"/>
          </w:tcPr>
          <w:p>
            <w:r>
              <w:rPr>
                <w:rFonts w:ascii="Calibri" w:hAnsi="Calibri"/>
                <w:sz w:val="20"/>
              </w:rPr>
              <w:t>Seveso-status wijziging</w:t>
            </w:r>
          </w:p>
        </w:tc>
        <w:tc>
          <w:tcPr>
            <w:tcW w:type="dxa" w:w="1881"/>
          </w:tcPr>
          <w:p>
            <w:r>
              <w:rPr>
                <w:rFonts w:ascii="Calibri" w:hAnsi="Calibri"/>
                <w:sz w:val="20"/>
              </w:rPr>
              <w:t>Reactief</w:t>
            </w:r>
          </w:p>
        </w:tc>
        <w:tc>
          <w:tcPr>
            <w:tcW w:type="dxa" w:w="1881"/>
          </w:tcPr>
          <w:p>
            <w:r>
              <w:rPr>
                <w:rFonts w:ascii="Calibri" w:hAnsi="Calibri"/>
                <w:sz w:val="20"/>
              </w:rPr>
              <w:t>Alle elementen</w:t>
            </w:r>
          </w:p>
        </w:tc>
        <w:tc>
          <w:tcPr>
            <w:tcW w:type="dxa" w:w="1881"/>
          </w:tcPr>
          <w:p>
            <w:r>
              <w:rPr>
                <w:rFonts w:ascii="Calibri" w:hAnsi="Calibri"/>
                <w:sz w:val="20"/>
              </w:rPr>
              <w:t>Binnen 90 dagen</w:t>
            </w:r>
          </w:p>
        </w:tc>
        <w:tc>
          <w:tcPr>
            <w:tcW w:type="dxa" w:w="1881"/>
          </w:tcPr>
          <w:p>
            <w:r>
              <w:rPr>
                <w:rFonts w:ascii="Calibri" w:hAnsi="Calibri"/>
                <w:sz w:val="20"/>
              </w:rPr>
              <w:t>Directie</w:t>
            </w:r>
          </w:p>
        </w:tc>
      </w:tr>
      <w:tr>
        <w:tc>
          <w:tcPr>
            <w:tcW w:type="dxa" w:w="1881"/>
            <w:shd w:fill="F8F9FA"/>
          </w:tcPr>
          <w:p>
            <w:r>
              <w:rPr>
                <w:rFonts w:ascii="Calibri" w:hAnsi="Calibri"/>
                <w:sz w:val="20"/>
              </w:rPr>
              <w:t>Management Review output</w:t>
            </w:r>
          </w:p>
        </w:tc>
        <w:tc>
          <w:tcPr>
            <w:tcW w:type="dxa" w:w="1881"/>
            <w:shd w:fill="F8F9FA"/>
          </w:tcPr>
          <w:p>
            <w:r>
              <w:rPr>
                <w:rFonts w:ascii="Calibri" w:hAnsi="Calibri"/>
                <w:sz w:val="20"/>
              </w:rPr>
              <w:t>Proactief</w:t>
            </w:r>
          </w:p>
        </w:tc>
        <w:tc>
          <w:tcPr>
            <w:tcW w:type="dxa" w:w="1881"/>
            <w:shd w:fill="F8F9FA"/>
          </w:tcPr>
          <w:p>
            <w:r>
              <w:rPr>
                <w:rFonts w:ascii="Calibri" w:hAnsi="Calibri"/>
                <w:sz w:val="20"/>
              </w:rPr>
              <w:t>Alle elementen</w:t>
            </w:r>
          </w:p>
        </w:tc>
        <w:tc>
          <w:tcPr>
            <w:tcW w:type="dxa" w:w="1881"/>
            <w:shd w:fill="F8F9FA"/>
          </w:tcPr>
          <w:p>
            <w:r>
              <w:rPr>
                <w:rFonts w:ascii="Calibri" w:hAnsi="Calibri"/>
                <w:sz w:val="20"/>
              </w:rPr>
              <w:t>Jaarlijks (Q1)</w:t>
            </w:r>
          </w:p>
        </w:tc>
        <w:tc>
          <w:tcPr>
            <w:tcW w:type="dxa" w:w="1881"/>
            <w:shd w:fill="F8F9FA"/>
          </w:tcPr>
          <w:p>
            <w:r>
              <w:rPr>
                <w:rFonts w:ascii="Calibri" w:hAnsi="Calibri"/>
                <w:sz w:val="20"/>
              </w:rPr>
              <w:t>Directie</w:t>
            </w:r>
          </w:p>
        </w:tc>
      </w:tr>
      <w:tr>
        <w:tc>
          <w:tcPr>
            <w:tcW w:type="dxa" w:w="1881"/>
          </w:tcPr>
          <w:p>
            <w:r>
              <w:rPr>
                <w:rFonts w:ascii="Calibri" w:hAnsi="Calibri"/>
                <w:sz w:val="20"/>
              </w:rPr>
              <w:t>Benchmarksectoranalyse</w:t>
            </w:r>
          </w:p>
        </w:tc>
        <w:tc>
          <w:tcPr>
            <w:tcW w:type="dxa" w:w="1881"/>
          </w:tcPr>
          <w:p>
            <w:r>
              <w:rPr>
                <w:rFonts w:ascii="Calibri" w:hAnsi="Calibri"/>
                <w:sz w:val="20"/>
              </w:rPr>
              <w:t>Proactief</w:t>
            </w:r>
          </w:p>
        </w:tc>
        <w:tc>
          <w:tcPr>
            <w:tcW w:type="dxa" w:w="1881"/>
          </w:tcPr>
          <w:p>
            <w:r>
              <w:rPr>
                <w:rFonts w:ascii="Calibri" w:hAnsi="Calibri"/>
                <w:sz w:val="20"/>
              </w:rPr>
              <w:t>I, II, XI</w:t>
            </w:r>
          </w:p>
        </w:tc>
        <w:tc>
          <w:tcPr>
            <w:tcW w:type="dxa" w:w="1881"/>
          </w:tcPr>
          <w:p>
            <w:r>
              <w:rPr>
                <w:rFonts w:ascii="Calibri" w:hAnsi="Calibri"/>
                <w:sz w:val="20"/>
              </w:rPr>
              <w:t>Jaarlijks</w:t>
            </w:r>
          </w:p>
        </w:tc>
        <w:tc>
          <w:tcPr>
            <w:tcW w:type="dxa" w:w="1881"/>
          </w:tcPr>
          <w:p>
            <w:r>
              <w:rPr>
                <w:rFonts w:ascii="Calibri" w:hAnsi="Calibri"/>
                <w:sz w:val="20"/>
              </w:rPr>
              <w:t>HSE Manager</w:t>
            </w:r>
          </w:p>
        </w:tc>
      </w:tr>
      <w:tr>
        <w:tc>
          <w:tcPr>
            <w:tcW w:type="dxa" w:w="1881"/>
            <w:shd w:fill="F8F9FA"/>
          </w:tcPr>
          <w:p>
            <w:r>
              <w:rPr>
                <w:rFonts w:ascii="Calibri" w:hAnsi="Calibri"/>
                <w:sz w:val="20"/>
              </w:rPr>
              <w:t>Klachten stakeholders</w:t>
            </w:r>
          </w:p>
        </w:tc>
        <w:tc>
          <w:tcPr>
            <w:tcW w:type="dxa" w:w="1881"/>
            <w:shd w:fill="F8F9FA"/>
          </w:tcPr>
          <w:p>
            <w:r>
              <w:rPr>
                <w:rFonts w:ascii="Calibri" w:hAnsi="Calibri"/>
                <w:sz w:val="20"/>
              </w:rPr>
              <w:t>Reactief</w:t>
            </w:r>
          </w:p>
        </w:tc>
        <w:tc>
          <w:tcPr>
            <w:tcW w:type="dxa" w:w="1881"/>
            <w:shd w:fill="F8F9FA"/>
          </w:tcPr>
          <w:p>
            <w:r>
              <w:rPr>
                <w:rFonts w:ascii="Calibri" w:hAnsi="Calibri"/>
                <w:sz w:val="20"/>
              </w:rPr>
              <w:t>Specifiek element</w:t>
            </w:r>
          </w:p>
        </w:tc>
        <w:tc>
          <w:tcPr>
            <w:tcW w:type="dxa" w:w="1881"/>
            <w:shd w:fill="F8F9FA"/>
          </w:tcPr>
          <w:p>
            <w:r>
              <w:rPr>
                <w:rFonts w:ascii="Calibri" w:hAnsi="Calibri"/>
                <w:sz w:val="20"/>
              </w:rPr>
              <w:t>Binnen 30 dagen</w:t>
            </w:r>
          </w:p>
        </w:tc>
        <w:tc>
          <w:tcPr>
            <w:tcW w:type="dxa" w:w="1881"/>
            <w:shd w:fill="F8F9FA"/>
          </w:tcPr>
          <w:p>
            <w:r>
              <w:rPr>
                <w:rFonts w:ascii="Calibri" w:hAnsi="Calibri"/>
                <w:sz w:val="20"/>
              </w:rPr>
              <w:t>HSE Manager</w:t>
            </w:r>
          </w:p>
        </w:tc>
      </w:tr>
      <w:tr>
        <w:tc>
          <w:tcPr>
            <w:tcW w:type="dxa" w:w="1881"/>
          </w:tcPr>
          <w:p>
            <w:r>
              <w:rPr>
                <w:rFonts w:ascii="Calibri" w:hAnsi="Calibri"/>
                <w:sz w:val="20"/>
              </w:rPr>
              <w:t>Nieuwe technologie/methodiek</w:t>
            </w:r>
          </w:p>
        </w:tc>
        <w:tc>
          <w:tcPr>
            <w:tcW w:type="dxa" w:w="1881"/>
          </w:tcPr>
          <w:p>
            <w:r>
              <w:rPr>
                <w:rFonts w:ascii="Calibri" w:hAnsi="Calibri"/>
                <w:sz w:val="20"/>
              </w:rPr>
              <w:t>Proactief</w:t>
            </w:r>
          </w:p>
        </w:tc>
        <w:tc>
          <w:tcPr>
            <w:tcW w:type="dxa" w:w="1881"/>
          </w:tcPr>
          <w:p>
            <w:r>
              <w:rPr>
                <w:rFonts w:ascii="Calibri" w:hAnsi="Calibri"/>
                <w:sz w:val="20"/>
              </w:rPr>
              <w:t>II, III, V</w:t>
            </w:r>
          </w:p>
        </w:tc>
        <w:tc>
          <w:tcPr>
            <w:tcW w:type="dxa" w:w="1881"/>
          </w:tcPr>
          <w:p>
            <w:r>
              <w:rPr>
                <w:rFonts w:ascii="Calibri" w:hAnsi="Calibri"/>
                <w:sz w:val="20"/>
              </w:rPr>
              <w:t>Jaarlijks</w:t>
            </w:r>
          </w:p>
        </w:tc>
        <w:tc>
          <w:tcPr>
            <w:tcW w:type="dxa" w:w="1881"/>
          </w:tcPr>
          <w:p>
            <w:r>
              <w:rPr>
                <w:rFonts w:ascii="Calibri" w:hAnsi="Calibri"/>
                <w:sz w:val="20"/>
              </w:rPr>
              <w:t>HSE Manager</w:t>
            </w:r>
          </w:p>
        </w:tc>
      </w:tr>
      <w:tr>
        <w:tc>
          <w:tcPr>
            <w:tcW w:type="dxa" w:w="1881"/>
            <w:shd w:fill="F8F9FA"/>
          </w:tcPr>
          <w:p>
            <w:r>
              <w:rPr>
                <w:rFonts w:ascii="Calibri" w:hAnsi="Calibri"/>
                <w:sz w:val="20"/>
              </w:rPr>
              <w:t>Herziening BRZO/Seveso</w:t>
            </w:r>
          </w:p>
        </w:tc>
        <w:tc>
          <w:tcPr>
            <w:tcW w:type="dxa" w:w="1881"/>
            <w:shd w:fill="F8F9FA"/>
          </w:tcPr>
          <w:p>
            <w:r>
              <w:rPr>
                <w:rFonts w:ascii="Calibri" w:hAnsi="Calibri"/>
                <w:sz w:val="20"/>
              </w:rPr>
              <w:t>Reactief</w:t>
            </w:r>
          </w:p>
        </w:tc>
        <w:tc>
          <w:tcPr>
            <w:tcW w:type="dxa" w:w="1881"/>
            <w:shd w:fill="F8F9FA"/>
          </w:tcPr>
          <w:p>
            <w:r>
              <w:rPr>
                <w:rFonts w:ascii="Calibri" w:hAnsi="Calibri"/>
                <w:sz w:val="20"/>
              </w:rPr>
              <w:t>Alle elementen</w:t>
            </w:r>
          </w:p>
        </w:tc>
        <w:tc>
          <w:tcPr>
            <w:tcW w:type="dxa" w:w="1881"/>
            <w:shd w:fill="F8F9FA"/>
          </w:tcPr>
          <w:p>
            <w:r>
              <w:rPr>
                <w:rFonts w:ascii="Calibri" w:hAnsi="Calibri"/>
                <w:sz w:val="20"/>
              </w:rPr>
              <w:t>Binnen implementatietermijn</w:t>
            </w:r>
          </w:p>
        </w:tc>
        <w:tc>
          <w:tcPr>
            <w:tcW w:type="dxa" w:w="1881"/>
            <w:shd w:fill="F8F9FA"/>
          </w:tcPr>
          <w:p>
            <w:r>
              <w:rPr>
                <w:rFonts w:ascii="Calibri" w:hAnsi="Calibri"/>
                <w:sz w:val="20"/>
              </w:rPr>
              <w:t>HSE Manager</w:t>
            </w:r>
          </w:p>
        </w:tc>
      </w:tr>
    </w:tbl>
    <w:p/>
    <w:p>
      <w:pPr>
        <w:pStyle w:val="Heading1"/>
      </w:pPr>
      <w:r>
        <w:rPr>
          <w:color w:val="003366"/>
        </w:rPr>
        <w:t>3. Proactieve Herziening</w:t>
      </w:r>
    </w:p>
    <w:p>
      <w:pPr>
        <w:pStyle w:val="Heading2"/>
      </w:pPr>
      <w:r>
        <w:rPr>
          <w:color w:val="003366"/>
        </w:rPr>
        <w:t>3.1 Jaarlijkse cyclus</w:t>
      </w:r>
    </w:p>
    <w:p>
      <w:r>
        <w:t>De jaarlijkse proactieve herziening is gekoppeld aan de Management Review (Doc 14). Na afloop van de Management Review worden beleidsdocumenten geëvalueerd en waar nodig bijgewerkt.</w:t>
      </w:r>
    </w:p>
    <w:p>
      <w:pPr>
        <w:pStyle w:val="Heading2"/>
      </w:pPr>
      <w:r>
        <w:rPr>
          <w:color w:val="003366"/>
        </w:rPr>
        <w:t>3.2 Benchmarking</w:t>
      </w:r>
    </w:p>
    <w:p>
      <w:r>
        <w:t>Jaarlijks wordt het VBS gebenchmarked tegen peers in de sector (petrochemie, metallurgie, opslag gevaarlijke stoffen). Resultaten worden verwerkt in de Management Review.</w:t>
      </w:r>
    </w:p>
    <w:p>
      <w:pPr>
        <w:pStyle w:val="Heading2"/>
      </w:pPr>
      <w:r>
        <w:rPr>
          <w:color w:val="003366"/>
        </w:rPr>
        <w:t>3.3 Nieuwe inzichten</w:t>
      </w:r>
    </w:p>
    <w:p>
      <w:r>
        <w:t>Technologische ontwikkelingen (bijv. nieuwe detectiesystemen, digitalisering VBS) en methodische verbeteringen (bijv. bowtie-analyse, LOPA) worden jaarlijks geëvalueerd op toepasbaarheid.</w:t>
      </w:r>
    </w:p>
    <w:p>
      <w:pPr>
        <w:pStyle w:val="Heading1"/>
      </w:pPr>
      <w:r>
        <w:rPr>
          <w:color w:val="003366"/>
        </w:rPr>
        <w:t>4. Reactieve Herziening</w:t>
      </w:r>
    </w:p>
    <w:p>
      <w:pPr>
        <w:pStyle w:val="Heading2"/>
      </w:pPr>
      <w:r>
        <w:rPr>
          <w:color w:val="003366"/>
        </w:rPr>
        <w:t>4.1 Na major incident</w:t>
      </w:r>
    </w:p>
    <w:p>
      <w:r>
        <w:t>Binnen 30 dagen na een major incident (BRZO-rapportageplichtig) wordt het betreffende beleid herzien. De incidentanalyse (Element VI) levert input voor de herziening.</w:t>
      </w:r>
    </w:p>
    <w:p>
      <w:pPr>
        <w:pStyle w:val="Heading2"/>
      </w:pPr>
      <w:r>
        <w:rPr>
          <w:color w:val="003366"/>
        </w:rPr>
        <w:t>4.2 Na significante audit-bevinding</w:t>
      </w:r>
    </w:p>
    <w:p>
      <w:r>
        <w:t>Major non-conformiteiten uit interne of externe audits leiden tot herziening van het betreffende beleidsdocument binnen 14 dagen.</w:t>
      </w:r>
    </w:p>
    <w:p>
      <w:pPr>
        <w:pStyle w:val="Heading2"/>
      </w:pPr>
      <w:r>
        <w:rPr>
          <w:color w:val="003366"/>
        </w:rPr>
        <w:t>4.3 Na wetgevingwijziging</w:t>
      </w:r>
    </w:p>
    <w:p>
      <w:r>
        <w:t>Wijzigingen in wet- en regelgeving worden geïdentificeerd via de regelgevingmonitor (Element VII). Herziening vindt plaats binnen de wettelijke implementatietermijn.</w:t>
      </w:r>
    </w:p>
    <w:p>
      <w:pPr>
        <w:pStyle w:val="Heading1"/>
      </w:pPr>
      <w:r>
        <w:rPr>
          <w:color w:val="003366"/>
        </w:rPr>
        <w:t>5. Herzieningsprocedure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Stap</w:t>
            </w:r>
          </w:p>
        </w:tc>
        <w:tc>
          <w:tcPr>
            <w:tcW w:type="dxa" w:w="4703"/>
            <w:shd w:fill="003366"/>
          </w:tcPr>
          <w:p>
            <w:r>
              <w:rPr>
                <w:rFonts w:ascii="Calibri" w:hAnsi="Calibri"/>
                <w:b/>
                <w:color w:val="FFFFFF"/>
                <w:sz w:val="20"/>
              </w:rPr>
              <w:t>Beschrijving</w:t>
            </w:r>
          </w:p>
        </w:tc>
      </w:tr>
      <w:tr>
        <w:tc>
          <w:tcPr>
            <w:tcW w:type="dxa" w:w="4703"/>
          </w:tcPr>
          <w:p>
            <w:r>
              <w:rPr>
                <w:rFonts w:ascii="Calibri" w:hAnsi="Calibri"/>
                <w:sz w:val="20"/>
              </w:rPr>
              <w:t>1. Initiatie</w:t>
            </w:r>
          </w:p>
        </w:tc>
        <w:tc>
          <w:tcPr>
            <w:tcW w:type="dxa" w:w="4703"/>
          </w:tcPr>
          <w:p>
            <w:r>
              <w:rPr>
                <w:rFonts w:ascii="Calibri" w:hAnsi="Calibri"/>
                <w:sz w:val="20"/>
              </w:rPr>
              <w:t>HSE Manager of Directie identificeert noodzaak tot herziening</w:t>
            </w:r>
          </w:p>
        </w:tc>
      </w:tr>
      <w:tr>
        <w:tc>
          <w:tcPr>
            <w:tcW w:type="dxa" w:w="4703"/>
            <w:shd w:fill="F8F9FA"/>
          </w:tcPr>
          <w:p>
            <w:r>
              <w:rPr>
                <w:rFonts w:ascii="Calibri" w:hAnsi="Calibri"/>
                <w:sz w:val="20"/>
              </w:rPr>
              <w:t>2. Impactanalyse</w:t>
            </w:r>
          </w:p>
        </w:tc>
        <w:tc>
          <w:tcPr>
            <w:tcW w:type="dxa" w:w="4703"/>
            <w:shd w:fill="F8F9FA"/>
          </w:tcPr>
          <w:p>
            <w:r>
              <w:rPr>
                <w:rFonts w:ascii="Calibri" w:hAnsi="Calibri"/>
                <w:sz w:val="20"/>
              </w:rPr>
              <w:t>Bepaal welke documenten en elementen worden geraakt</w:t>
            </w:r>
          </w:p>
        </w:tc>
      </w:tr>
      <w:tr>
        <w:tc>
          <w:tcPr>
            <w:tcW w:type="dxa" w:w="4703"/>
          </w:tcPr>
          <w:p>
            <w:r>
              <w:rPr>
                <w:rFonts w:ascii="Calibri" w:hAnsi="Calibri"/>
                <w:sz w:val="20"/>
              </w:rPr>
              <w:t>3. Herziening</w:t>
            </w:r>
          </w:p>
        </w:tc>
        <w:tc>
          <w:tcPr>
            <w:tcW w:type="dxa" w:w="4703"/>
          </w:tcPr>
          <w:p>
            <w:r>
              <w:rPr>
                <w:rFonts w:ascii="Calibri" w:hAnsi="Calibri"/>
                <w:sz w:val="20"/>
              </w:rPr>
              <w:t>Conceptwijziging opstellen conform Styleguide</w:t>
            </w:r>
          </w:p>
        </w:tc>
      </w:tr>
      <w:tr>
        <w:tc>
          <w:tcPr>
            <w:tcW w:type="dxa" w:w="4703"/>
            <w:shd w:fill="F8F9FA"/>
          </w:tcPr>
          <w:p>
            <w:r>
              <w:rPr>
                <w:rFonts w:ascii="Calibri" w:hAnsi="Calibri"/>
                <w:sz w:val="20"/>
              </w:rPr>
              <w:t>4. Goedkeuring</w:t>
            </w:r>
          </w:p>
        </w:tc>
        <w:tc>
          <w:tcPr>
            <w:tcW w:type="dxa" w:w="4703"/>
            <w:shd w:fill="F8F9FA"/>
          </w:tcPr>
          <w:p>
            <w:r>
              <w:rPr>
                <w:rFonts w:ascii="Calibri" w:hAnsi="Calibri"/>
                <w:sz w:val="20"/>
              </w:rPr>
              <w:t>Directie keurt wijziging goed; OR stemt in (indien van toepassing)</w:t>
            </w:r>
          </w:p>
        </w:tc>
      </w:tr>
      <w:tr>
        <w:tc>
          <w:tcPr>
            <w:tcW w:type="dxa" w:w="4703"/>
          </w:tcPr>
          <w:p>
            <w:r>
              <w:rPr>
                <w:rFonts w:ascii="Calibri" w:hAnsi="Calibri"/>
                <w:sz w:val="20"/>
              </w:rPr>
              <w:t>5. Communicatie</w:t>
            </w:r>
          </w:p>
        </w:tc>
        <w:tc>
          <w:tcPr>
            <w:tcW w:type="dxa" w:w="4703"/>
          </w:tcPr>
          <w:p>
            <w:r>
              <w:rPr>
                <w:rFonts w:ascii="Calibri" w:hAnsi="Calibri"/>
                <w:sz w:val="20"/>
              </w:rPr>
              <w:t>Gewijzigde documenten communiceren naar alle betrokkenen</w:t>
            </w:r>
          </w:p>
        </w:tc>
      </w:tr>
      <w:tr>
        <w:tc>
          <w:tcPr>
            <w:tcW w:type="dxa" w:w="4703"/>
            <w:shd w:fill="F8F9FA"/>
          </w:tcPr>
          <w:p>
            <w:r>
              <w:rPr>
                <w:rFonts w:ascii="Calibri" w:hAnsi="Calibri"/>
                <w:sz w:val="20"/>
              </w:rPr>
              <w:t>6. Implementatie</w:t>
            </w:r>
          </w:p>
        </w:tc>
        <w:tc>
          <w:tcPr>
            <w:tcW w:type="dxa" w:w="4703"/>
            <w:shd w:fill="F8F9FA"/>
          </w:tcPr>
          <w:p>
            <w:r>
              <w:rPr>
                <w:rFonts w:ascii="Calibri" w:hAnsi="Calibri"/>
                <w:sz w:val="20"/>
              </w:rPr>
              <w:t>Training/instructie waar nodig; archivering oude versie</w:t>
            </w:r>
          </w:p>
        </w:tc>
      </w:tr>
    </w:tbl>
    <w:p/>
    <w:p>
      <w:r>
        <w:t>Versiebeheer: alle VBS-documenten kennen een versienummer (v1.0, v1.1, v2.0). Oude versies worden gearchiveerd in de projectmap /archive/.</w:t>
      </w:r>
    </w:p>
    <w:p>
      <w:pPr>
        <w:pStyle w:val="Heading1"/>
      </w:pPr>
      <w:r>
        <w:rPr>
          <w:color w:val="003366"/>
        </w:rPr>
        <w:t>6. Documentatie</w:t>
      </w:r>
    </w:p>
    <w:p>
      <w:r>
        <w:t>Per VBS-document wordt een changelog bijgehouden met:</w:t>
      </w:r>
    </w:p>
    <w:p>
      <w:pPr>
        <w:pStyle w:val="ListBullet"/>
      </w:pPr>
      <w:r>
        <w:t>Datum van wijziging</w:t>
      </w:r>
    </w:p>
    <w:p>
      <w:pPr>
        <w:pStyle w:val="ListBullet"/>
      </w:pPr>
      <w:r>
        <w:t>Versienummer (oud → nieuw)</w:t>
      </w:r>
    </w:p>
    <w:p>
      <w:pPr>
        <w:pStyle w:val="ListBullet"/>
      </w:pPr>
      <w:r>
        <w:t>Aard van wijziging (proactief/reactief)</w:t>
      </w:r>
    </w:p>
    <w:p>
      <w:pPr>
        <w:pStyle w:val="ListBullet"/>
      </w:pPr>
      <w:r>
        <w:t>Trigger die tot herziening leidde</w:t>
      </w:r>
    </w:p>
    <w:p>
      <w:pPr>
        <w:pStyle w:val="ListBullet"/>
      </w:pPr>
      <w:r>
        <w:t>Goedkeurder</w:t>
      </w:r>
    </w:p>
    <w:p>
      <w:r>
        <w:t>Archivering: oude documentversies worden verplaatst naar /archive/ en bewaard gedurende 10 jaar (BRZO-verplichting).</w:t>
      </w:r>
    </w:p>
    <w:p>
      <w:pPr>
        <w:pStyle w:val="Heading1"/>
      </w:pPr>
      <w:r>
        <w:rPr>
          <w:color w:val="003366"/>
        </w:rPr>
        <w:t>Bronnenlijst</w:t>
      </w:r>
    </w:p>
    <w:p>
      <w:r>
        <w:t>[1] NTA 8620:2020, Par. 4.6 — beoordeling en herziening door directie</w:t>
      </w:r>
    </w:p>
    <w:p>
      <w:r>
        <w:t>[2] Seveso III-richtlijn 2012/18/EU, Art. 12 — herziening MAPP</w:t>
      </w:r>
    </w:p>
    <w:p>
      <w:r>
        <w:t>[3] BRZO 1999 — implementatie Seveso III, herzieningsverplichtingen</w:t>
      </w:r>
    </w:p>
    <w:p>
      <w:r>
        <w:t>[4] ISO 45001:2018, §9.9 — Management Review output</w:t>
      </w:r>
    </w:p>
    <w:p>
      <w:r>
        <w:t>[5] ISO 45001:2018, §10.2 — continu verbeteren</w:t>
      </w:r>
    </w:p>
    <w:p/>
    <w:p>
      <w:pPr>
        <w:pStyle w:val="Heading1"/>
      </w:pPr>
      <w:r>
        <w:rPr>
          <w:color w:val="003366"/>
        </w:rPr>
        <w:t>TierVerify Log</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Item</w:t>
            </w:r>
          </w:p>
        </w:tc>
        <w:tc>
          <w:tcPr>
            <w:tcW w:type="dxa" w:w="4703"/>
            <w:shd w:fill="003366"/>
          </w:tcPr>
          <w:p>
            <w:r>
              <w:rPr>
                <w:rFonts w:ascii="Calibri" w:hAnsi="Calibri"/>
                <w:b/>
                <w:color w:val="FFFFFF"/>
                <w:sz w:val="20"/>
              </w:rPr>
              <w:t>Detail</w:t>
            </w:r>
          </w:p>
        </w:tc>
      </w:tr>
      <w:tr>
        <w:tc>
          <w:tcPr>
            <w:tcW w:type="dxa" w:w="4703"/>
          </w:tcPr>
          <w:p>
            <w:r>
              <w:rPr>
                <w:rFonts w:ascii="Calibri" w:hAnsi="Calibri"/>
                <w:sz w:val="20"/>
              </w:rPr>
              <w:t>Datum</w:t>
            </w:r>
          </w:p>
        </w:tc>
        <w:tc>
          <w:tcPr>
            <w:tcW w:type="dxa" w:w="4703"/>
          </w:tcPr>
          <w:p>
            <w:r>
              <w:rPr>
                <w:rFonts w:ascii="Calibri" w:hAnsi="Calibri"/>
                <w:sz w:val="20"/>
              </w:rPr>
              <w:t>2026-04-29</w:t>
            </w:r>
          </w:p>
        </w:tc>
      </w:tr>
      <w:tr>
        <w:tc>
          <w:tcPr>
            <w:tcW w:type="dxa" w:w="4703"/>
            <w:shd w:fill="F8F9FA"/>
          </w:tcPr>
          <w:p>
            <w:r>
              <w:rPr>
                <w:rFonts w:ascii="Calibri" w:hAnsi="Calibri"/>
                <w:sz w:val="20"/>
              </w:rPr>
              <w:t>Status</w:t>
            </w:r>
          </w:p>
        </w:tc>
        <w:tc>
          <w:tcPr>
            <w:tcW w:type="dxa" w:w="4703"/>
            <w:shd w:fill="F8F9FA"/>
          </w:tcPr>
          <w:p>
            <w:r>
              <w:rPr>
                <w:rFonts w:ascii="Calibri" w:hAnsi="Calibri"/>
                <w:sz w:val="20"/>
              </w:rPr>
              <w:t>✅ PASS</w:t>
            </w:r>
          </w:p>
        </w:tc>
      </w:tr>
      <w:tr>
        <w:tc>
          <w:tcPr>
            <w:tcW w:type="dxa" w:w="4703"/>
          </w:tcPr>
          <w:p>
            <w:r>
              <w:rPr>
                <w:rFonts w:ascii="Calibri" w:hAnsi="Calibri"/>
                <w:sz w:val="20"/>
              </w:rPr>
              <w:t>Tieren gebruikt</w:t>
            </w:r>
          </w:p>
        </w:tc>
        <w:tc>
          <w:tcPr>
            <w:tcW w:type="dxa" w:w="4703"/>
          </w:tcPr>
          <w:p>
            <w:r>
              <w:rPr>
                <w:rFonts w:ascii="Calibri" w:hAnsi="Calibri"/>
                <w:sz w:val="20"/>
              </w:rPr>
              <w:t>Tier 1 (wetgeving), Tier 2 (normen)</w:t>
            </w:r>
          </w:p>
        </w:tc>
      </w:tr>
      <w:tr>
        <w:tc>
          <w:tcPr>
            <w:tcW w:type="dxa" w:w="4703"/>
            <w:shd w:fill="F8F9FA"/>
          </w:tcPr>
          <w:p>
            <w:r>
              <w:rPr>
                <w:rFonts w:ascii="Calibri" w:hAnsi="Calibri"/>
                <w:sz w:val="20"/>
              </w:rPr>
              <w:t>Bronnen</w:t>
            </w:r>
          </w:p>
        </w:tc>
        <w:tc>
          <w:tcPr>
            <w:tcW w:type="dxa" w:w="4703"/>
            <w:shd w:fill="F8F9FA"/>
          </w:tcPr>
          <w:p>
            <w:r>
              <w:rPr>
                <w:rFonts w:ascii="Calibri" w:hAnsi="Calibri"/>
                <w:sz w:val="20"/>
              </w:rPr>
              <w:t>Seveso III 2012/18/EU, BRZO 1999, NTA 8620, Arbowet, ISO 45001:2018</w:t>
            </w:r>
          </w:p>
        </w:tc>
      </w:tr>
      <w:tr>
        <w:tc>
          <w:tcPr>
            <w:tcW w:type="dxa" w:w="4703"/>
          </w:tcPr>
          <w:p>
            <w:r>
              <w:rPr>
                <w:rFonts w:ascii="Calibri" w:hAnsi="Calibri"/>
                <w:sz w:val="20"/>
              </w:rPr>
              <w:t>Checks uitgevoerd</w:t>
            </w:r>
          </w:p>
        </w:tc>
        <w:tc>
          <w:tcPr>
            <w:tcW w:type="dxa" w:w="4703"/>
          </w:tcPr>
          <w:p>
            <w:r>
              <w:rPr>
                <w:rFonts w:ascii="Calibri" w:hAnsi="Calibri"/>
                <w:sz w:val="20"/>
              </w:rPr>
              <w:t>4 — wetgevingsreferenties, kruisverwijzingen, terminologie, structuur</w:t>
            </w:r>
          </w:p>
        </w:tc>
      </w:tr>
      <w:tr>
        <w:tc>
          <w:tcPr>
            <w:tcW w:type="dxa" w:w="4703"/>
            <w:shd w:fill="F8F9FA"/>
          </w:tcPr>
          <w:p>
            <w:r>
              <w:rPr>
                <w:rFonts w:ascii="Calibri" w:hAnsi="Calibri"/>
                <w:sz w:val="20"/>
              </w:rPr>
              <w:t>Issues gevonden</w:t>
            </w:r>
          </w:p>
        </w:tc>
        <w:tc>
          <w:tcPr>
            <w:tcW w:type="dxa" w:w="4703"/>
            <w:shd w:fill="F8F9FA"/>
          </w:tcPr>
          <w:p>
            <w:r>
              <w:rPr>
                <w:rFonts w:ascii="Calibri" w:hAnsi="Calibri"/>
                <w:sz w:val="20"/>
              </w:rPr>
              <w:t>Geen</w:t>
            </w:r>
          </w:p>
        </w:tc>
      </w:tr>
      <w:tr>
        <w:tc>
          <w:tcPr>
            <w:tcW w:type="dxa" w:w="4703"/>
          </w:tcPr>
          <w:p>
            <w:r>
              <w:rPr>
                <w:rFonts w:ascii="Calibri" w:hAnsi="Calibri"/>
                <w:sz w:val="20"/>
              </w:rPr>
              <w:t>Actie</w:t>
            </w:r>
          </w:p>
        </w:tc>
        <w:tc>
          <w:tcPr>
            <w:tcW w:type="dxa" w:w="4703"/>
          </w:tcPr>
          <w:p>
            <w:r>
              <w:rPr>
                <w:rFonts w:ascii="Calibri" w:hAnsi="Calibri"/>
                <w:sz w:val="20"/>
              </w:rPr>
              <w:t>Geaccepteerd</w:t>
            </w:r>
          </w:p>
        </w:tc>
      </w:tr>
      <w:tr>
        <w:tc>
          <w:tcPr>
            <w:tcW w:type="dxa" w:w="4703"/>
            <w:shd w:fill="F8F9FA"/>
          </w:tcPr>
          <w:p>
            <w:r>
              <w:rPr>
                <w:rFonts w:ascii="Calibri" w:hAnsi="Calibri"/>
                <w:sz w:val="20"/>
              </w:rPr>
              <w:t>Aflevering</w:t>
            </w:r>
          </w:p>
        </w:tc>
        <w:tc>
          <w:tcPr>
            <w:tcW w:type="dxa" w:w="4703"/>
            <w:shd w:fill="F8F9FA"/>
          </w:tcPr>
          <w:p>
            <w:r>
              <w:rPr>
                <w:rFonts w:ascii="Calibri" w:hAnsi="Calibri"/>
                <w:sz w:val="20"/>
              </w:rPr>
              <w:t>JA</w:t>
            </w:r>
          </w:p>
        </w:tc>
      </w:tr>
    </w:tbl>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374151"/>
        <w:sz w:val="18"/>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Beleidsherzieningstriggers</dc:title>
  <dc:subject/>
  <dc:creator>Kas (Director of Operations)</dc:creator>
  <cp:keywords>PM_VBS01; NTA 8620; BRZO; Seveso III; VBS</cp:keywords>
  <dc:description>generated by python-docx</dc:description>
  <cp:lastModifiedBy/>
  <cp:revision>1</cp:revision>
  <dcterms:created xsi:type="dcterms:W3CDTF">2013-12-23T23:15:00Z</dcterms:created>
  <dcterms:modified xsi:type="dcterms:W3CDTF">2013-12-23T23:15:00Z</dcterms:modified>
  <cp:category>VBS Element 1 — Preventiebeleid &amp; Organisatie</cp:category>
</cp:coreProperties>
</file>