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003366"/>
          <w:sz w:val="44"/>
        </w:rPr>
        <w:t>Budget &amp; Middelen VBS</w:t>
      </w:r>
    </w:p>
    <w:p>
      <w:pPr>
        <w:jc w:val="center"/>
      </w:pPr>
      <w:r>
        <w:rPr>
          <w:color w:val="1F2937"/>
          <w:sz w:val="28"/>
        </w:rPr>
        <w:t>VBS Element 1 — Preventiebeleid &amp; Organisatie</w:t>
        <w:br/>
        <w:t>NTA 8620 par. 4.1.2 | Seveso III art. 12(1)(a)</w:t>
      </w:r>
    </w:p>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Veld</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Project</w:t>
            </w:r>
          </w:p>
        </w:tc>
        <w:tc>
          <w:tcPr>
            <w:tcW w:type="dxa" w:w="4703"/>
          </w:tcPr>
          <w:p>
            <w:r>
              <w:rPr>
                <w:rFonts w:ascii="Calibri" w:hAnsi="Calibri"/>
                <w:sz w:val="20"/>
              </w:rPr>
              <w:t>Phoenix Metals VBS Element 1</w:t>
            </w:r>
          </w:p>
        </w:tc>
      </w:tr>
      <w:tr>
        <w:tc>
          <w:tcPr>
            <w:tcW w:type="dxa" w:w="4703"/>
            <w:shd w:fill="F8F9FA"/>
          </w:tcPr>
          <w:p>
            <w:r>
              <w:rPr>
                <w:rFonts w:ascii="Calibri" w:hAnsi="Calibri"/>
                <w:sz w:val="20"/>
              </w:rPr>
              <w:t>Documentcode</w:t>
            </w:r>
          </w:p>
        </w:tc>
        <w:tc>
          <w:tcPr>
            <w:tcW w:type="dxa" w:w="4703"/>
            <w:shd w:fill="F8F9FA"/>
          </w:tcPr>
          <w:p>
            <w:r>
              <w:rPr>
                <w:rFonts w:ascii="Calibri" w:hAnsi="Calibri"/>
                <w:sz w:val="20"/>
              </w:rPr>
              <w:t>PM_VBS01_15</w:t>
            </w:r>
          </w:p>
        </w:tc>
      </w:tr>
      <w:tr>
        <w:tc>
          <w:tcPr>
            <w:tcW w:type="dxa" w:w="4703"/>
          </w:tcPr>
          <w:p>
            <w:r>
              <w:rPr>
                <w:rFonts w:ascii="Calibri" w:hAnsi="Calibri"/>
                <w:sz w:val="20"/>
              </w:rPr>
              <w:t>Versie</w:t>
            </w:r>
          </w:p>
        </w:tc>
        <w:tc>
          <w:tcPr>
            <w:tcW w:type="dxa" w:w="4703"/>
          </w:tcPr>
          <w:p>
            <w:r>
              <w:rPr>
                <w:rFonts w:ascii="Calibri" w:hAnsi="Calibri"/>
                <w:sz w:val="20"/>
              </w:rPr>
              <w:t>1.0</w:t>
            </w:r>
          </w:p>
        </w:tc>
      </w:tr>
      <w:tr>
        <w:tc>
          <w:tcPr>
            <w:tcW w:type="dxa" w:w="4703"/>
            <w:shd w:fill="F8F9FA"/>
          </w:tcPr>
          <w:p>
            <w:r>
              <w:rPr>
                <w:rFonts w:ascii="Calibri" w:hAnsi="Calibri"/>
                <w:sz w:val="20"/>
              </w:rPr>
              <w:t>Datum</w:t>
            </w:r>
          </w:p>
        </w:tc>
        <w:tc>
          <w:tcPr>
            <w:tcW w:type="dxa" w:w="4703"/>
            <w:shd w:fill="F8F9FA"/>
          </w:tcPr>
          <w:p>
            <w:r>
              <w:rPr>
                <w:rFonts w:ascii="Calibri" w:hAnsi="Calibri"/>
                <w:sz w:val="20"/>
              </w:rPr>
              <w:t>2026-04-29</w:t>
            </w:r>
          </w:p>
        </w:tc>
      </w:tr>
      <w:tr>
        <w:tc>
          <w:tcPr>
            <w:tcW w:type="dxa" w:w="4703"/>
          </w:tcPr>
          <w:p>
            <w:r>
              <w:rPr>
                <w:rFonts w:ascii="Calibri" w:hAnsi="Calibri"/>
                <w:sz w:val="20"/>
              </w:rPr>
              <w:t>Status</w:t>
            </w:r>
          </w:p>
        </w:tc>
        <w:tc>
          <w:tcPr>
            <w:tcW w:type="dxa" w:w="4703"/>
          </w:tcPr>
          <w:p>
            <w:r>
              <w:rPr>
                <w:rFonts w:ascii="Calibri" w:hAnsi="Calibri"/>
                <w:sz w:val="20"/>
              </w:rPr>
              <w:t>Final</w:t>
            </w:r>
          </w:p>
        </w:tc>
      </w:tr>
      <w:tr>
        <w:tc>
          <w:tcPr>
            <w:tcW w:type="dxa" w:w="4703"/>
            <w:shd w:fill="F8F9FA"/>
          </w:tcPr>
          <w:p>
            <w:r>
              <w:rPr>
                <w:rFonts w:ascii="Calibri" w:hAnsi="Calibri"/>
                <w:sz w:val="20"/>
              </w:rPr>
              <w:t>Auteur</w:t>
            </w:r>
          </w:p>
        </w:tc>
        <w:tc>
          <w:tcPr>
            <w:tcW w:type="dxa" w:w="4703"/>
            <w:shd w:fill="F8F9FA"/>
          </w:tcPr>
          <w:p>
            <w:r>
              <w:rPr>
                <w:rFonts w:ascii="Calibri" w:hAnsi="Calibri"/>
                <w:sz w:val="20"/>
              </w:rPr>
              <w:t>JvG Consultancy</w:t>
            </w:r>
          </w:p>
        </w:tc>
      </w:tr>
      <w:tr>
        <w:tc>
          <w:tcPr>
            <w:tcW w:type="dxa" w:w="4703"/>
          </w:tcPr>
          <w:p>
            <w:r>
              <w:rPr>
                <w:rFonts w:ascii="Calibri" w:hAnsi="Calibri"/>
                <w:sz w:val="20"/>
              </w:rPr>
              <w:t>Goedgekeurd door</w:t>
            </w:r>
          </w:p>
        </w:tc>
        <w:tc>
          <w:tcPr>
            <w:tcW w:type="dxa" w:w="4703"/>
          </w:tcPr>
          <w:p>
            <w:r>
              <w:rPr>
                <w:rFonts w:ascii="Calibri" w:hAnsi="Calibri"/>
                <w:sz w:val="20"/>
              </w:rPr>
              <w:t>Directie</w:t>
            </w:r>
          </w:p>
        </w:tc>
      </w:tr>
    </w:tbl>
    <w:p/>
    <w:p>
      <w:pPr>
        <w:pStyle w:val="Heading2"/>
      </w:pPr>
      <w:r>
        <w:rPr>
          <w:color w:val="003366"/>
        </w:rPr>
        <w:t>Distributie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Rol</w:t>
            </w:r>
          </w:p>
        </w:tc>
        <w:tc>
          <w:tcPr>
            <w:tcW w:type="dxa" w:w="4703"/>
            <w:shd w:fill="003366"/>
          </w:tcPr>
          <w:p>
            <w:r>
              <w:rPr>
                <w:rFonts w:ascii="Calibri" w:hAnsi="Calibri"/>
                <w:b/>
                <w:color w:val="FFFFFF"/>
                <w:sz w:val="20"/>
              </w:rPr>
              <w:t>Naam/Functie</w:t>
            </w:r>
          </w:p>
        </w:tc>
      </w:tr>
      <w:tr>
        <w:tc>
          <w:tcPr>
            <w:tcW w:type="dxa" w:w="4703"/>
          </w:tcPr>
          <w:p>
            <w:r>
              <w:rPr>
                <w:rFonts w:ascii="Calibri" w:hAnsi="Calibri"/>
                <w:sz w:val="20"/>
              </w:rPr>
              <w:t>Directie</w:t>
            </w:r>
          </w:p>
        </w:tc>
        <w:tc>
          <w:tcPr>
            <w:tcW w:type="dxa" w:w="4703"/>
          </w:tcPr>
          <w:p>
            <w:r>
              <w:rPr>
                <w:rFonts w:ascii="Calibri" w:hAnsi="Calibri"/>
                <w:sz w:val="20"/>
              </w:rPr>
              <w:t>Directeur</w:t>
            </w:r>
          </w:p>
        </w:tc>
      </w:tr>
      <w:tr>
        <w:tc>
          <w:tcPr>
            <w:tcW w:type="dxa" w:w="4703"/>
            <w:shd w:fill="F8F9FA"/>
          </w:tcPr>
          <w:p>
            <w:r>
              <w:rPr>
                <w:rFonts w:ascii="Calibri" w:hAnsi="Calibri"/>
                <w:sz w:val="20"/>
              </w:rPr>
              <w:t>HSE Manager</w:t>
            </w:r>
          </w:p>
        </w:tc>
        <w:tc>
          <w:tcPr>
            <w:tcW w:type="dxa" w:w="4703"/>
            <w:shd w:fill="F8F9FA"/>
          </w:tcPr>
          <w:p>
            <w:r>
              <w:rPr>
                <w:rFonts w:ascii="Calibri" w:hAnsi="Calibri"/>
                <w:sz w:val="20"/>
              </w:rPr>
              <w:t>HSE Manager</w:t>
            </w:r>
          </w:p>
        </w:tc>
      </w:tr>
      <w:tr>
        <w:tc>
          <w:tcPr>
            <w:tcW w:type="dxa" w:w="4703"/>
          </w:tcPr>
          <w:p>
            <w:r>
              <w:rPr>
                <w:rFonts w:ascii="Calibri" w:hAnsi="Calibri"/>
                <w:sz w:val="20"/>
              </w:rPr>
              <w:t>OR / Medezeggenschap</w:t>
            </w:r>
          </w:p>
        </w:tc>
        <w:tc>
          <w:tcPr>
            <w:tcW w:type="dxa" w:w="4703"/>
          </w:tcPr>
          <w:p>
            <w:r>
              <w:rPr>
                <w:rFonts w:ascii="Calibri" w:hAnsi="Calibri"/>
                <w:sz w:val="20"/>
              </w:rPr>
              <w:t>Werknemersvertegenwoordigers</w:t>
            </w:r>
          </w:p>
        </w:tc>
      </w:tr>
      <w:tr>
        <w:tc>
          <w:tcPr>
            <w:tcW w:type="dxa" w:w="4703"/>
            <w:shd w:fill="F8F9FA"/>
          </w:tcPr>
          <w:p>
            <w:r>
              <w:rPr>
                <w:rFonts w:ascii="Calibri" w:hAnsi="Calibri"/>
                <w:sz w:val="20"/>
              </w:rPr>
              <w:t>Alle medewerkers</w:t>
            </w:r>
          </w:p>
        </w:tc>
        <w:tc>
          <w:tcPr>
            <w:tcW w:type="dxa" w:w="4703"/>
            <w:shd w:fill="F8F9FA"/>
          </w:tcPr>
          <w:p>
            <w:r>
              <w:rPr>
                <w:rFonts w:ascii="Calibri" w:hAnsi="Calibri"/>
                <w:sz w:val="20"/>
              </w:rPr>
              <w:t>Via intranet</w:t>
            </w:r>
          </w:p>
        </w:tc>
      </w:tr>
    </w:tbl>
    <w:p>
      <w:r>
        <w:br w:type="page"/>
      </w:r>
    </w:p>
    <w:p>
      <w:pPr>
        <w:pStyle w:val="Heading1"/>
      </w:pPr>
      <w:r>
        <w:rPr>
          <w:color w:val="003366"/>
        </w:rPr>
        <w:t>Inhoudsopgave</w:t>
      </w:r>
    </w:p>
    <w:p>
      <w:r>
        <w:t>[Wordt bijgewerkt na finalisatie]</w:t>
      </w:r>
    </w:p>
    <w:p>
      <w:r>
        <w:br w:type="page"/>
      </w:r>
    </w:p>
    <w:p>
      <w:pPr>
        <w:pStyle w:val="Heading1"/>
      </w:pPr>
      <w:r>
        <w:rPr>
          <w:color w:val="003366"/>
        </w:rPr>
        <w:t>1. Inleiding</w:t>
      </w:r>
    </w:p>
    <w:p>
      <w:r>
        <w:t>Dit document beschrijft de budgetstructuur, begrotingscyclus en verantwoording van financiële en materiële middelen voor het Veiligheidsbeheerssysteem (VBS). NTA 8620 par. 4.1.2 vereist dat de directie voldoende middelen beschikbaar stelt voor implementatie en onderhoud van het VBS [1]. Seveso III art. 12(1)(a) onderstreept dit als voorwaarde voor het major-accident prevention policy (MAPP) [2].</w:t>
      </w:r>
    </w:p>
    <w:p>
      <w:pPr>
        <w:pStyle w:val="Heading1"/>
      </w:pPr>
      <w:r>
        <w:rPr>
          <w:color w:val="003366"/>
        </w:rPr>
        <w:t>2. Beleidsuitgangspunt</w:t>
      </w:r>
    </w:p>
    <w:p>
      <w:r>
        <w:t>De directie stelt jaarlijks voldoende financiële, materiële en personele middelen beschikbaar om het VBS effectief te implementeren, te onderhouden en te verbeteren. Besparingen op veiligheidsbudgetten zijn niet toegestaan indien deze leiden tot verlaging van het beschermingsniveau.</w:t>
      </w:r>
    </w:p>
    <w:p>
      <w:pPr>
        <w:pStyle w:val="Heading1"/>
      </w:pPr>
      <w:r>
        <w:rPr>
          <w:color w:val="003366"/>
        </w:rPr>
        <w:t>3. Budgetstructuur</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Pr>
                <w:rFonts w:ascii="Calibri" w:hAnsi="Calibri"/>
                <w:b/>
                <w:color w:val="FFFFFF"/>
                <w:sz w:val="20"/>
              </w:rPr>
              <w:t>Categorie</w:t>
            </w:r>
          </w:p>
        </w:tc>
        <w:tc>
          <w:tcPr>
            <w:tcW w:type="dxa" w:w="3135"/>
            <w:shd w:fill="003366"/>
          </w:tcPr>
          <w:p>
            <w:r>
              <w:rPr>
                <w:rFonts w:ascii="Calibri" w:hAnsi="Calibri"/>
                <w:b/>
                <w:color w:val="FFFFFF"/>
                <w:sz w:val="20"/>
              </w:rPr>
              <w:t>Omschrijving</w:t>
            </w:r>
          </w:p>
        </w:tc>
        <w:tc>
          <w:tcPr>
            <w:tcW w:type="dxa" w:w="3135"/>
            <w:shd w:fill="003366"/>
          </w:tcPr>
          <w:p>
            <w:r>
              <w:rPr>
                <w:rFonts w:ascii="Calibri" w:hAnsi="Calibri"/>
                <w:b/>
                <w:color w:val="FFFFFF"/>
                <w:sz w:val="20"/>
              </w:rPr>
              <w:t>Verantwoordelijke</w:t>
            </w:r>
          </w:p>
        </w:tc>
      </w:tr>
      <w:tr>
        <w:tc>
          <w:tcPr>
            <w:tcW w:type="dxa" w:w="3135"/>
          </w:tcPr>
          <w:p>
            <w:r>
              <w:rPr>
                <w:rFonts w:ascii="Calibri" w:hAnsi="Calibri"/>
                <w:sz w:val="20"/>
              </w:rPr>
              <w:t>Personeel (FTE)</w:t>
            </w:r>
          </w:p>
        </w:tc>
        <w:tc>
          <w:tcPr>
            <w:tcW w:type="dxa" w:w="3135"/>
          </w:tcPr>
          <w:p>
            <w:r>
              <w:rPr>
                <w:rFonts w:ascii="Calibri" w:hAnsi="Calibri"/>
                <w:sz w:val="20"/>
              </w:rPr>
              <w:t>HSE Manager, veiligheidskundigen, arbo-coördinator</w:t>
            </w:r>
          </w:p>
        </w:tc>
        <w:tc>
          <w:tcPr>
            <w:tcW w:type="dxa" w:w="3135"/>
          </w:tcPr>
          <w:p>
            <w:r>
              <w:rPr>
                <w:rFonts w:ascii="Calibri" w:hAnsi="Calibri"/>
                <w:sz w:val="20"/>
              </w:rPr>
              <w:t>HR / Directie</w:t>
            </w:r>
          </w:p>
        </w:tc>
      </w:tr>
      <w:tr>
        <w:tc>
          <w:tcPr>
            <w:tcW w:type="dxa" w:w="3135"/>
            <w:shd w:fill="F8F9FA"/>
          </w:tcPr>
          <w:p>
            <w:r>
              <w:rPr>
                <w:rFonts w:ascii="Calibri" w:hAnsi="Calibri"/>
                <w:sz w:val="20"/>
              </w:rPr>
              <w:t>Trainingen</w:t>
            </w:r>
          </w:p>
        </w:tc>
        <w:tc>
          <w:tcPr>
            <w:tcW w:type="dxa" w:w="3135"/>
            <w:shd w:fill="F8F9FA"/>
          </w:tcPr>
          <w:p>
            <w:r>
              <w:rPr>
                <w:rFonts w:ascii="Calibri" w:hAnsi="Calibri"/>
                <w:sz w:val="20"/>
              </w:rPr>
              <w:t>Basis- en functiespecifieke trainingen, herhalingen</w:t>
            </w:r>
          </w:p>
        </w:tc>
        <w:tc>
          <w:tcPr>
            <w:tcW w:type="dxa" w:w="3135"/>
            <w:shd w:fill="F8F9FA"/>
          </w:tcPr>
          <w:p>
            <w:r>
              <w:rPr>
                <w:rFonts w:ascii="Calibri" w:hAnsi="Calibri"/>
                <w:sz w:val="20"/>
              </w:rPr>
              <w:t>HSE Manager / HR</w:t>
            </w:r>
          </w:p>
        </w:tc>
      </w:tr>
      <w:tr>
        <w:tc>
          <w:tcPr>
            <w:tcW w:type="dxa" w:w="3135"/>
          </w:tcPr>
          <w:p>
            <w:r>
              <w:rPr>
                <w:rFonts w:ascii="Calibri" w:hAnsi="Calibri"/>
                <w:sz w:val="20"/>
              </w:rPr>
              <w:t>PBM's</w:t>
            </w:r>
          </w:p>
        </w:tc>
        <w:tc>
          <w:tcPr>
            <w:tcW w:type="dxa" w:w="3135"/>
          </w:tcPr>
          <w:p>
            <w:r>
              <w:rPr>
                <w:rFonts w:ascii="Calibri" w:hAnsi="Calibri"/>
                <w:sz w:val="20"/>
              </w:rPr>
              <w:t>Persoonlijke beschermingsmiddelen, vervanging</w:t>
            </w:r>
          </w:p>
        </w:tc>
        <w:tc>
          <w:tcPr>
            <w:tcW w:type="dxa" w:w="3135"/>
          </w:tcPr>
          <w:p>
            <w:r>
              <w:rPr>
                <w:rFonts w:ascii="Calibri" w:hAnsi="Calibri"/>
                <w:sz w:val="20"/>
              </w:rPr>
              <w:t>Inkoper / HSE</w:t>
            </w:r>
          </w:p>
        </w:tc>
      </w:tr>
      <w:tr>
        <w:tc>
          <w:tcPr>
            <w:tcW w:type="dxa" w:w="3135"/>
            <w:shd w:fill="F8F9FA"/>
          </w:tcPr>
          <w:p>
            <w:r>
              <w:rPr>
                <w:rFonts w:ascii="Calibri" w:hAnsi="Calibri"/>
                <w:sz w:val="20"/>
              </w:rPr>
              <w:t>Inspecties/Audits</w:t>
            </w:r>
          </w:p>
        </w:tc>
        <w:tc>
          <w:tcPr>
            <w:tcW w:type="dxa" w:w="3135"/>
            <w:shd w:fill="F8F9FA"/>
          </w:tcPr>
          <w:p>
            <w:r>
              <w:rPr>
                <w:rFonts w:ascii="Calibri" w:hAnsi="Calibri"/>
                <w:sz w:val="20"/>
              </w:rPr>
              <w:t>Interne en externe audits, inspectie-apparatuur</w:t>
            </w:r>
          </w:p>
        </w:tc>
        <w:tc>
          <w:tcPr>
            <w:tcW w:type="dxa" w:w="3135"/>
            <w:shd w:fill="F8F9FA"/>
          </w:tcPr>
          <w:p>
            <w:r>
              <w:rPr>
                <w:rFonts w:ascii="Calibri" w:hAnsi="Calibri"/>
                <w:sz w:val="20"/>
              </w:rPr>
              <w:t>HSE Manager</w:t>
            </w:r>
          </w:p>
        </w:tc>
      </w:tr>
      <w:tr>
        <w:tc>
          <w:tcPr>
            <w:tcW w:type="dxa" w:w="3135"/>
          </w:tcPr>
          <w:p>
            <w:r>
              <w:rPr>
                <w:rFonts w:ascii="Calibri" w:hAnsi="Calibri"/>
                <w:sz w:val="20"/>
              </w:rPr>
              <w:t>Extern advies</w:t>
            </w:r>
          </w:p>
        </w:tc>
        <w:tc>
          <w:tcPr>
            <w:tcW w:type="dxa" w:w="3135"/>
          </w:tcPr>
          <w:p>
            <w:r>
              <w:rPr>
                <w:rFonts w:ascii="Calibri" w:hAnsi="Calibri"/>
                <w:sz w:val="20"/>
              </w:rPr>
              <w:t>Expertise externe veiligheidskundigen, consultancies</w:t>
            </w:r>
          </w:p>
        </w:tc>
        <w:tc>
          <w:tcPr>
            <w:tcW w:type="dxa" w:w="3135"/>
          </w:tcPr>
          <w:p>
            <w:r>
              <w:rPr>
                <w:rFonts w:ascii="Calibri" w:hAnsi="Calibri"/>
                <w:sz w:val="20"/>
              </w:rPr>
              <w:t>HSE Manager</w:t>
            </w:r>
          </w:p>
        </w:tc>
      </w:tr>
      <w:tr>
        <w:tc>
          <w:tcPr>
            <w:tcW w:type="dxa" w:w="3135"/>
            <w:shd w:fill="F8F9FA"/>
          </w:tcPr>
          <w:p>
            <w:r>
              <w:rPr>
                <w:rFonts w:ascii="Calibri" w:hAnsi="Calibri"/>
                <w:sz w:val="20"/>
              </w:rPr>
              <w:t>Tools/Software</w:t>
            </w:r>
          </w:p>
        </w:tc>
        <w:tc>
          <w:tcPr>
            <w:tcW w:type="dxa" w:w="3135"/>
            <w:shd w:fill="F8F9FA"/>
          </w:tcPr>
          <w:p>
            <w:r>
              <w:rPr>
                <w:rFonts w:ascii="Calibri" w:hAnsi="Calibri"/>
                <w:sz w:val="20"/>
              </w:rPr>
              <w:t>VBS-software, Meldingsystemen, data-analyse</w:t>
            </w:r>
          </w:p>
        </w:tc>
        <w:tc>
          <w:tcPr>
            <w:tcW w:type="dxa" w:w="3135"/>
            <w:shd w:fill="F8F9FA"/>
          </w:tcPr>
          <w:p>
            <w:r>
              <w:rPr>
                <w:rFonts w:ascii="Calibri" w:hAnsi="Calibri"/>
                <w:sz w:val="20"/>
              </w:rPr>
              <w:t>IT / HSE</w:t>
            </w:r>
          </w:p>
        </w:tc>
      </w:tr>
      <w:tr>
        <w:tc>
          <w:tcPr>
            <w:tcW w:type="dxa" w:w="3135"/>
          </w:tcPr>
          <w:p>
            <w:r>
              <w:rPr>
                <w:rFonts w:ascii="Calibri" w:hAnsi="Calibri"/>
                <w:sz w:val="20"/>
              </w:rPr>
              <w:t>Capex veiligheid</w:t>
            </w:r>
          </w:p>
        </w:tc>
        <w:tc>
          <w:tcPr>
            <w:tcW w:type="dxa" w:w="3135"/>
          </w:tcPr>
          <w:p>
            <w:r>
              <w:rPr>
                <w:rFonts w:ascii="Calibri" w:hAnsi="Calibri"/>
                <w:sz w:val="20"/>
              </w:rPr>
              <w:t>Technische maatregelen, installatie-aanpassingen</w:t>
            </w:r>
          </w:p>
        </w:tc>
        <w:tc>
          <w:tcPr>
            <w:tcW w:type="dxa" w:w="3135"/>
          </w:tcPr>
          <w:p>
            <w:r>
              <w:rPr>
                <w:rFonts w:ascii="Calibri" w:hAnsi="Calibri"/>
                <w:sz w:val="20"/>
              </w:rPr>
              <w:t>Technische Dienst</w:t>
            </w:r>
          </w:p>
        </w:tc>
      </w:tr>
      <w:tr>
        <w:tc>
          <w:tcPr>
            <w:tcW w:type="dxa" w:w="3135"/>
            <w:shd w:fill="F8F9FA"/>
          </w:tcPr>
          <w:p>
            <w:r>
              <w:rPr>
                <w:rFonts w:ascii="Calibri" w:hAnsi="Calibri"/>
                <w:sz w:val="20"/>
              </w:rPr>
              <w:t>Noodplanning</w:t>
            </w:r>
          </w:p>
        </w:tc>
        <w:tc>
          <w:tcPr>
            <w:tcW w:type="dxa" w:w="3135"/>
            <w:shd w:fill="F8F9FA"/>
          </w:tcPr>
          <w:p>
            <w:r>
              <w:rPr>
                <w:rFonts w:ascii="Calibri" w:hAnsi="Calibri"/>
                <w:sz w:val="20"/>
              </w:rPr>
              <w:t>Oefeningen, rampbestrijdingsmiddelen</w:t>
            </w:r>
          </w:p>
        </w:tc>
        <w:tc>
          <w:tcPr>
            <w:tcW w:type="dxa" w:w="3135"/>
            <w:shd w:fill="F8F9FA"/>
          </w:tcPr>
          <w:p>
            <w:r>
              <w:rPr>
                <w:rFonts w:ascii="Calibri" w:hAnsi="Calibri"/>
                <w:sz w:val="20"/>
              </w:rPr>
              <w:t>HSE Manager</w:t>
            </w:r>
          </w:p>
        </w:tc>
      </w:tr>
    </w:tbl>
    <w:p/>
    <w:p>
      <w:pPr>
        <w:pStyle w:val="Heading1"/>
      </w:pPr>
      <w:r>
        <w:rPr>
          <w:color w:val="003366"/>
        </w:rPr>
        <w:t>4. Begrotingscyclus</w:t>
      </w:r>
    </w:p>
    <w:p>
      <w:r>
        <w:t>De begrotingscyclus kent drie fasen: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Pr>
                <w:rFonts w:ascii="Calibri" w:hAnsi="Calibri"/>
                <w:b/>
                <w:color w:val="FFFFFF"/>
                <w:sz w:val="20"/>
              </w:rPr>
              <w:t>Fase</w:t>
            </w:r>
          </w:p>
        </w:tc>
        <w:tc>
          <w:tcPr>
            <w:tcW w:type="dxa" w:w="2351"/>
            <w:shd w:fill="003366"/>
          </w:tcPr>
          <w:p>
            <w:r>
              <w:rPr>
                <w:rFonts w:ascii="Calibri" w:hAnsi="Calibri"/>
                <w:b/>
                <w:color w:val="FFFFFF"/>
                <w:sz w:val="20"/>
              </w:rPr>
              <w:t>Moment</w:t>
            </w:r>
          </w:p>
        </w:tc>
        <w:tc>
          <w:tcPr>
            <w:tcW w:type="dxa" w:w="2351"/>
            <w:shd w:fill="003366"/>
          </w:tcPr>
          <w:p>
            <w:r>
              <w:rPr>
                <w:rFonts w:ascii="Calibri" w:hAnsi="Calibri"/>
                <w:b/>
                <w:color w:val="FFFFFF"/>
                <w:sz w:val="20"/>
              </w:rPr>
              <w:t>Activiteit</w:t>
            </w:r>
          </w:p>
        </w:tc>
        <w:tc>
          <w:tcPr>
            <w:tcW w:type="dxa" w:w="2351"/>
            <w:shd w:fill="003366"/>
          </w:tcPr>
          <w:p>
            <w:r>
              <w:rPr>
                <w:rFonts w:ascii="Calibri" w:hAnsi="Calibri"/>
                <w:b/>
                <w:color w:val="FFFFFF"/>
                <w:sz w:val="20"/>
              </w:rPr>
              <w:t>Verantwoordelijke</w:t>
            </w:r>
          </w:p>
        </w:tc>
      </w:tr>
      <w:tr>
        <w:tc>
          <w:tcPr>
            <w:tcW w:type="dxa" w:w="2351"/>
          </w:tcPr>
          <w:p>
            <w:r>
              <w:rPr>
                <w:rFonts w:ascii="Calibri" w:hAnsi="Calibri"/>
                <w:sz w:val="20"/>
              </w:rPr>
              <w:t>Jaarbegroting</w:t>
            </w:r>
          </w:p>
        </w:tc>
        <w:tc>
          <w:tcPr>
            <w:tcW w:type="dxa" w:w="2351"/>
          </w:tcPr>
          <w:p>
            <w:r>
              <w:rPr>
                <w:rFonts w:ascii="Calibri" w:hAnsi="Calibri"/>
                <w:sz w:val="20"/>
              </w:rPr>
              <w:t>Q4 (nov)</w:t>
            </w:r>
          </w:p>
        </w:tc>
        <w:tc>
          <w:tcPr>
            <w:tcW w:type="dxa" w:w="2351"/>
          </w:tcPr>
          <w:p>
            <w:r>
              <w:rPr>
                <w:rFonts w:ascii="Calibri" w:hAnsi="Calibri"/>
                <w:sz w:val="20"/>
              </w:rPr>
              <w:t>Opstellen begroting VBS voor komend jaar</w:t>
            </w:r>
          </w:p>
        </w:tc>
        <w:tc>
          <w:tcPr>
            <w:tcW w:type="dxa" w:w="2351"/>
          </w:tcPr>
          <w:p>
            <w:r>
              <w:rPr>
                <w:rFonts w:ascii="Calibri" w:hAnsi="Calibri"/>
                <w:sz w:val="20"/>
              </w:rPr>
              <w:t>HSE Manager + Controller</w:t>
            </w:r>
          </w:p>
        </w:tc>
      </w:tr>
      <w:tr>
        <w:tc>
          <w:tcPr>
            <w:tcW w:type="dxa" w:w="2351"/>
            <w:shd w:fill="F8F9FA"/>
          </w:tcPr>
          <w:p>
            <w:r>
              <w:rPr>
                <w:rFonts w:ascii="Calibri" w:hAnsi="Calibri"/>
                <w:sz w:val="20"/>
              </w:rPr>
              <w:t>Kwartaalactualisatie</w:t>
            </w:r>
          </w:p>
        </w:tc>
        <w:tc>
          <w:tcPr>
            <w:tcW w:type="dxa" w:w="2351"/>
            <w:shd w:fill="F8F9FA"/>
          </w:tcPr>
          <w:p>
            <w:r>
              <w:rPr>
                <w:rFonts w:ascii="Calibri" w:hAnsi="Calibri"/>
                <w:sz w:val="20"/>
              </w:rPr>
              <w:t>Q1/Q2/Q3</w:t>
            </w:r>
          </w:p>
        </w:tc>
        <w:tc>
          <w:tcPr>
            <w:tcW w:type="dxa" w:w="2351"/>
            <w:shd w:fill="F8F9FA"/>
          </w:tcPr>
          <w:p>
            <w:r>
              <w:rPr>
                <w:rFonts w:ascii="Calibri" w:hAnsi="Calibri"/>
                <w:sz w:val="20"/>
              </w:rPr>
              <w:t>Besteding vs. begroting, bijstelling</w:t>
            </w:r>
          </w:p>
        </w:tc>
        <w:tc>
          <w:tcPr>
            <w:tcW w:type="dxa" w:w="2351"/>
            <w:shd w:fill="F8F9FA"/>
          </w:tcPr>
          <w:p>
            <w:r>
              <w:rPr>
                <w:rFonts w:ascii="Calibri" w:hAnsi="Calibri"/>
                <w:sz w:val="20"/>
              </w:rPr>
              <w:t>Controller</w:t>
            </w:r>
          </w:p>
        </w:tc>
      </w:tr>
      <w:tr>
        <w:tc>
          <w:tcPr>
            <w:tcW w:type="dxa" w:w="2351"/>
          </w:tcPr>
          <w:p>
            <w:r>
              <w:rPr>
                <w:rFonts w:ascii="Calibri" w:hAnsi="Calibri"/>
                <w:sz w:val="20"/>
              </w:rPr>
              <w:t>Jaarafsluiting</w:t>
            </w:r>
          </w:p>
        </w:tc>
        <w:tc>
          <w:tcPr>
            <w:tcW w:type="dxa" w:w="2351"/>
          </w:tcPr>
          <w:p>
            <w:r>
              <w:rPr>
                <w:rFonts w:ascii="Calibri" w:hAnsi="Calibri"/>
                <w:sz w:val="20"/>
              </w:rPr>
              <w:t>Q1 (volgend jaar)</w:t>
            </w:r>
          </w:p>
        </w:tc>
        <w:tc>
          <w:tcPr>
            <w:tcW w:type="dxa" w:w="2351"/>
          </w:tcPr>
          <w:p>
            <w:r>
              <w:rPr>
                <w:rFonts w:ascii="Calibri" w:hAnsi="Calibri"/>
                <w:sz w:val="20"/>
              </w:rPr>
              <w:t>Evaluatie besteding, input Management Review</w:t>
            </w:r>
          </w:p>
        </w:tc>
        <w:tc>
          <w:tcPr>
            <w:tcW w:type="dxa" w:w="2351"/>
          </w:tcPr>
          <w:p>
            <w:r>
              <w:rPr>
                <w:rFonts w:ascii="Calibri" w:hAnsi="Calibri"/>
                <w:sz w:val="20"/>
              </w:rPr>
              <w:t>Controller + HSE</w:t>
            </w:r>
          </w:p>
        </w:tc>
      </w:tr>
    </w:tbl>
    <w:p>
      <w:r>
        <w:t>De jaarafsluiting wordt als input gebruikt voor de Management Review (Doc 14).</w:t>
      </w:r>
    </w:p>
    <w:p>
      <w:pPr>
        <w:pStyle w:val="Heading1"/>
      </w:pPr>
      <w:r>
        <w:rPr>
          <w:color w:val="003366"/>
        </w:rPr>
        <w:t>5. Middelenmatrix</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tcPr>
          <w:p>
            <w:r>
              <w:rPr>
                <w:rFonts w:ascii="Calibri" w:hAnsi="Calibri"/>
                <w:b/>
                <w:color w:val="FFFFFF"/>
                <w:sz w:val="20"/>
              </w:rPr>
              <w:t>VBS-activiteit</w:t>
            </w:r>
          </w:p>
        </w:tc>
        <w:tc>
          <w:tcPr>
            <w:tcW w:type="dxa" w:w="1881"/>
            <w:shd w:fill="003366"/>
          </w:tcPr>
          <w:p>
            <w:r>
              <w:rPr>
                <w:rFonts w:ascii="Calibri" w:hAnsi="Calibri"/>
                <w:b/>
                <w:color w:val="FFFFFF"/>
                <w:sz w:val="20"/>
              </w:rPr>
              <w:t>Benodigd middel</w:t>
            </w:r>
          </w:p>
        </w:tc>
        <w:tc>
          <w:tcPr>
            <w:tcW w:type="dxa" w:w="1881"/>
            <w:shd w:fill="003366"/>
          </w:tcPr>
          <w:p>
            <w:r>
              <w:rPr>
                <w:rFonts w:ascii="Calibri" w:hAnsi="Calibri"/>
                <w:b/>
                <w:color w:val="FFFFFF"/>
                <w:sz w:val="20"/>
              </w:rPr>
              <w:t>Begroot</w:t>
            </w:r>
          </w:p>
        </w:tc>
        <w:tc>
          <w:tcPr>
            <w:tcW w:type="dxa" w:w="1881"/>
            <w:shd w:fill="003366"/>
          </w:tcPr>
          <w:p>
            <w:r>
              <w:rPr>
                <w:rFonts w:ascii="Calibri" w:hAnsi="Calibri"/>
                <w:b/>
                <w:color w:val="FFFFFF"/>
                <w:sz w:val="20"/>
              </w:rPr>
              <w:t>Werkelijk</w:t>
            </w:r>
          </w:p>
        </w:tc>
        <w:tc>
          <w:tcPr>
            <w:tcW w:type="dxa" w:w="1881"/>
            <w:shd w:fill="003366"/>
          </w:tcPr>
          <w:p>
            <w:r>
              <w:rPr>
                <w:rFonts w:ascii="Calibri" w:hAnsi="Calibri"/>
                <w:b/>
                <w:color w:val="FFFFFF"/>
                <w:sz w:val="20"/>
              </w:rPr>
              <w:t>Delta</w:t>
            </w:r>
          </w:p>
        </w:tc>
      </w:tr>
      <w:tr>
        <w:tc>
          <w:tcPr>
            <w:tcW w:type="dxa" w:w="1881"/>
          </w:tcPr>
          <w:p>
            <w:r>
              <w:rPr>
                <w:rFonts w:ascii="Calibri" w:hAnsi="Calibri"/>
                <w:sz w:val="20"/>
              </w:rPr>
              <w:t>RI&amp;E uitvoering</w:t>
            </w:r>
          </w:p>
        </w:tc>
        <w:tc>
          <w:tcPr>
            <w:tcW w:type="dxa" w:w="1881"/>
          </w:tcPr>
          <w:p>
            <w:r>
              <w:rPr>
                <w:rFonts w:ascii="Calibri" w:hAnsi="Calibri"/>
                <w:sz w:val="20"/>
              </w:rPr>
              <w:t>Extern advies + uren</w:t>
            </w:r>
          </w:p>
        </w:tc>
        <w:tc>
          <w:tcPr>
            <w:tcW w:type="dxa" w:w="1881"/>
          </w:tcPr>
          <w:p>
            <w:r>
              <w:rPr>
                <w:rFonts w:ascii="Calibri" w:hAnsi="Calibri"/>
                <w:sz w:val="20"/>
              </w:rPr>
              <w:t>€...</w:t>
            </w:r>
          </w:p>
        </w:tc>
        <w:tc>
          <w:tcPr>
            <w:tcW w:type="dxa" w:w="1881"/>
          </w:tcPr>
          <w:p>
            <w:r>
              <w:rPr>
                <w:rFonts w:ascii="Calibri" w:hAnsi="Calibri"/>
                <w:sz w:val="20"/>
              </w:rPr>
              <w:t>€...</w:t>
            </w:r>
          </w:p>
        </w:tc>
        <w:tc>
          <w:tcPr>
            <w:tcW w:type="dxa" w:w="1881"/>
          </w:tcPr>
          <w:p>
            <w:r>
              <w:rPr>
                <w:rFonts w:ascii="Calibri" w:hAnsi="Calibri"/>
                <w:sz w:val="20"/>
              </w:rPr>
              <w:t>€...</w:t>
            </w:r>
          </w:p>
        </w:tc>
      </w:tr>
      <w:tr>
        <w:tc>
          <w:tcPr>
            <w:tcW w:type="dxa" w:w="1881"/>
            <w:shd w:fill="F8F9FA"/>
          </w:tcPr>
          <w:p>
            <w:r>
              <w:rPr>
                <w:rFonts w:ascii="Calibri" w:hAnsi="Calibri"/>
                <w:sz w:val="20"/>
              </w:rPr>
              <w:t>Interne audits (4x/jaar)</w:t>
            </w:r>
          </w:p>
        </w:tc>
        <w:tc>
          <w:tcPr>
            <w:tcW w:type="dxa" w:w="1881"/>
            <w:shd w:fill="F8F9FA"/>
          </w:tcPr>
          <w:p>
            <w:r>
              <w:rPr>
                <w:rFonts w:ascii="Calibri" w:hAnsi="Calibri"/>
                <w:sz w:val="20"/>
              </w:rPr>
              <w:t>Auditor uren + tools</w:t>
            </w:r>
          </w:p>
        </w:tc>
        <w:tc>
          <w:tcPr>
            <w:tcW w:type="dxa" w:w="1881"/>
            <w:shd w:fill="F8F9FA"/>
          </w:tcPr>
          <w:p>
            <w:r>
              <w:rPr>
                <w:rFonts w:ascii="Calibri" w:hAnsi="Calibri"/>
                <w:sz w:val="20"/>
              </w:rPr>
              <w:t>€...</w:t>
            </w:r>
          </w:p>
        </w:tc>
        <w:tc>
          <w:tcPr>
            <w:tcW w:type="dxa" w:w="1881"/>
            <w:shd w:fill="F8F9FA"/>
          </w:tcPr>
          <w:p>
            <w:r>
              <w:rPr>
                <w:rFonts w:ascii="Calibri" w:hAnsi="Calibri"/>
                <w:sz w:val="20"/>
              </w:rPr>
              <w:t>€...</w:t>
            </w:r>
          </w:p>
        </w:tc>
        <w:tc>
          <w:tcPr>
            <w:tcW w:type="dxa" w:w="1881"/>
            <w:shd w:fill="F8F9FA"/>
          </w:tcPr>
          <w:p>
            <w:r>
              <w:rPr>
                <w:rFonts w:ascii="Calibri" w:hAnsi="Calibri"/>
                <w:sz w:val="20"/>
              </w:rPr>
              <w:t>€...</w:t>
            </w:r>
          </w:p>
        </w:tc>
      </w:tr>
      <w:tr>
        <w:tc>
          <w:tcPr>
            <w:tcW w:type="dxa" w:w="1881"/>
          </w:tcPr>
          <w:p>
            <w:r>
              <w:rPr>
                <w:rFonts w:ascii="Calibri" w:hAnsi="Calibri"/>
                <w:sz w:val="20"/>
              </w:rPr>
              <w:t>Training programma</w:t>
            </w:r>
          </w:p>
        </w:tc>
        <w:tc>
          <w:tcPr>
            <w:tcW w:type="dxa" w:w="1881"/>
          </w:tcPr>
          <w:p>
            <w:r>
              <w:rPr>
                <w:rFonts w:ascii="Calibri" w:hAnsi="Calibri"/>
                <w:sz w:val="20"/>
              </w:rPr>
              <w:t>Extern + intern</w:t>
            </w:r>
          </w:p>
        </w:tc>
        <w:tc>
          <w:tcPr>
            <w:tcW w:type="dxa" w:w="1881"/>
          </w:tcPr>
          <w:p>
            <w:r>
              <w:rPr>
                <w:rFonts w:ascii="Calibri" w:hAnsi="Calibri"/>
                <w:sz w:val="20"/>
              </w:rPr>
              <w:t>€...</w:t>
            </w:r>
          </w:p>
        </w:tc>
        <w:tc>
          <w:tcPr>
            <w:tcW w:type="dxa" w:w="1881"/>
          </w:tcPr>
          <w:p>
            <w:r>
              <w:rPr>
                <w:rFonts w:ascii="Calibri" w:hAnsi="Calibri"/>
                <w:sz w:val="20"/>
              </w:rPr>
              <w:t>€...</w:t>
            </w:r>
          </w:p>
        </w:tc>
        <w:tc>
          <w:tcPr>
            <w:tcW w:type="dxa" w:w="1881"/>
          </w:tcPr>
          <w:p>
            <w:r>
              <w:rPr>
                <w:rFonts w:ascii="Calibri" w:hAnsi="Calibri"/>
                <w:sz w:val="20"/>
              </w:rPr>
              <w:t>€...</w:t>
            </w:r>
          </w:p>
        </w:tc>
      </w:tr>
      <w:tr>
        <w:tc>
          <w:tcPr>
            <w:tcW w:type="dxa" w:w="1881"/>
            <w:shd w:fill="F8F9FA"/>
          </w:tcPr>
          <w:p>
            <w:r>
              <w:rPr>
                <w:rFonts w:ascii="Calibri" w:hAnsi="Calibri"/>
                <w:sz w:val="20"/>
              </w:rPr>
              <w:t>PBM voorziening</w:t>
            </w:r>
          </w:p>
        </w:tc>
        <w:tc>
          <w:tcPr>
            <w:tcW w:type="dxa" w:w="1881"/>
            <w:shd w:fill="F8F9FA"/>
          </w:tcPr>
          <w:p>
            <w:r>
              <w:rPr>
                <w:rFonts w:ascii="Calibri" w:hAnsi="Calibri"/>
                <w:sz w:val="20"/>
              </w:rPr>
              <w:t>Inkoop + vervanging</w:t>
            </w:r>
          </w:p>
        </w:tc>
        <w:tc>
          <w:tcPr>
            <w:tcW w:type="dxa" w:w="1881"/>
            <w:shd w:fill="F8F9FA"/>
          </w:tcPr>
          <w:p>
            <w:r>
              <w:rPr>
                <w:rFonts w:ascii="Calibri" w:hAnsi="Calibri"/>
                <w:sz w:val="20"/>
              </w:rPr>
              <w:t>€...</w:t>
            </w:r>
          </w:p>
        </w:tc>
        <w:tc>
          <w:tcPr>
            <w:tcW w:type="dxa" w:w="1881"/>
            <w:shd w:fill="F8F9FA"/>
          </w:tcPr>
          <w:p>
            <w:r>
              <w:rPr>
                <w:rFonts w:ascii="Calibri" w:hAnsi="Calibri"/>
                <w:sz w:val="20"/>
              </w:rPr>
              <w:t>€...</w:t>
            </w:r>
          </w:p>
        </w:tc>
        <w:tc>
          <w:tcPr>
            <w:tcW w:type="dxa" w:w="1881"/>
            <w:shd w:fill="F8F9FA"/>
          </w:tcPr>
          <w:p>
            <w:r>
              <w:rPr>
                <w:rFonts w:ascii="Calibri" w:hAnsi="Calibri"/>
                <w:sz w:val="20"/>
              </w:rPr>
              <w:t>€...</w:t>
            </w:r>
          </w:p>
        </w:tc>
      </w:tr>
      <w:tr>
        <w:tc>
          <w:tcPr>
            <w:tcW w:type="dxa" w:w="1881"/>
          </w:tcPr>
          <w:p>
            <w:r>
              <w:rPr>
                <w:rFonts w:ascii="Calibri" w:hAnsi="Calibri"/>
                <w:sz w:val="20"/>
              </w:rPr>
              <w:t>Noodoefeningen (2x/jaar)</w:t>
            </w:r>
          </w:p>
        </w:tc>
        <w:tc>
          <w:tcPr>
            <w:tcW w:type="dxa" w:w="1881"/>
          </w:tcPr>
          <w:p>
            <w:r>
              <w:rPr>
                <w:rFonts w:ascii="Calibri" w:hAnsi="Calibri"/>
                <w:sz w:val="20"/>
              </w:rPr>
              <w:t>Middelen + externe begeleiding</w:t>
            </w:r>
          </w:p>
        </w:tc>
        <w:tc>
          <w:tcPr>
            <w:tcW w:type="dxa" w:w="1881"/>
          </w:tcPr>
          <w:p>
            <w:r>
              <w:rPr>
                <w:rFonts w:ascii="Calibri" w:hAnsi="Calibri"/>
                <w:sz w:val="20"/>
              </w:rPr>
              <w:t>€...</w:t>
            </w:r>
          </w:p>
        </w:tc>
        <w:tc>
          <w:tcPr>
            <w:tcW w:type="dxa" w:w="1881"/>
          </w:tcPr>
          <w:p>
            <w:r>
              <w:rPr>
                <w:rFonts w:ascii="Calibri" w:hAnsi="Calibri"/>
                <w:sz w:val="20"/>
              </w:rPr>
              <w:t>€...</w:t>
            </w:r>
          </w:p>
        </w:tc>
        <w:tc>
          <w:tcPr>
            <w:tcW w:type="dxa" w:w="1881"/>
          </w:tcPr>
          <w:p>
            <w:r>
              <w:rPr>
                <w:rFonts w:ascii="Calibri" w:hAnsi="Calibri"/>
                <w:sz w:val="20"/>
              </w:rPr>
              <w:t>€...</w:t>
            </w:r>
          </w:p>
        </w:tc>
      </w:tr>
      <w:tr>
        <w:tc>
          <w:tcPr>
            <w:tcW w:type="dxa" w:w="1881"/>
            <w:shd w:fill="F8F9FA"/>
          </w:tcPr>
          <w:p>
            <w:r>
              <w:rPr>
                <w:rFonts w:ascii="Calibri" w:hAnsi="Calibri"/>
                <w:sz w:val="20"/>
              </w:rPr>
              <w:t>VBS-software licentie</w:t>
            </w:r>
          </w:p>
        </w:tc>
        <w:tc>
          <w:tcPr>
            <w:tcW w:type="dxa" w:w="1881"/>
            <w:shd w:fill="F8F9FA"/>
          </w:tcPr>
          <w:p>
            <w:r>
              <w:rPr>
                <w:rFonts w:ascii="Calibri" w:hAnsi="Calibri"/>
                <w:sz w:val="20"/>
              </w:rPr>
              <w:t>Jaarlicentie</w:t>
            </w:r>
          </w:p>
        </w:tc>
        <w:tc>
          <w:tcPr>
            <w:tcW w:type="dxa" w:w="1881"/>
            <w:shd w:fill="F8F9FA"/>
          </w:tcPr>
          <w:p>
            <w:r>
              <w:rPr>
                <w:rFonts w:ascii="Calibri" w:hAnsi="Calibri"/>
                <w:sz w:val="20"/>
              </w:rPr>
              <w:t>€...</w:t>
            </w:r>
          </w:p>
        </w:tc>
        <w:tc>
          <w:tcPr>
            <w:tcW w:type="dxa" w:w="1881"/>
            <w:shd w:fill="F8F9FA"/>
          </w:tcPr>
          <w:p>
            <w:r>
              <w:rPr>
                <w:rFonts w:ascii="Calibri" w:hAnsi="Calibri"/>
                <w:sz w:val="20"/>
              </w:rPr>
              <w:t>€...</w:t>
            </w:r>
          </w:p>
        </w:tc>
        <w:tc>
          <w:tcPr>
            <w:tcW w:type="dxa" w:w="1881"/>
            <w:shd w:fill="F8F9FA"/>
          </w:tcPr>
          <w:p>
            <w:r>
              <w:rPr>
                <w:rFonts w:ascii="Calibri" w:hAnsi="Calibri"/>
                <w:sz w:val="20"/>
              </w:rPr>
              <w:t>€...</w:t>
            </w:r>
          </w:p>
        </w:tc>
      </w:tr>
      <w:tr>
        <w:tc>
          <w:tcPr>
            <w:tcW w:type="dxa" w:w="1881"/>
          </w:tcPr>
          <w:p>
            <w:r>
              <w:rPr>
                <w:rFonts w:ascii="Calibri" w:hAnsi="Calibri"/>
                <w:sz w:val="20"/>
              </w:rPr>
              <w:t>Inspectie-apparatuur</w:t>
            </w:r>
          </w:p>
        </w:tc>
        <w:tc>
          <w:tcPr>
            <w:tcW w:type="dxa" w:w="1881"/>
          </w:tcPr>
          <w:p>
            <w:r>
              <w:rPr>
                <w:rFonts w:ascii="Calibri" w:hAnsi="Calibri"/>
                <w:sz w:val="20"/>
              </w:rPr>
              <w:t>Onderhoud + kalibratie</w:t>
            </w:r>
          </w:p>
        </w:tc>
        <w:tc>
          <w:tcPr>
            <w:tcW w:type="dxa" w:w="1881"/>
          </w:tcPr>
          <w:p>
            <w:r>
              <w:rPr>
                <w:rFonts w:ascii="Calibri" w:hAnsi="Calibri"/>
                <w:sz w:val="20"/>
              </w:rPr>
              <w:t>€...</w:t>
            </w:r>
          </w:p>
        </w:tc>
        <w:tc>
          <w:tcPr>
            <w:tcW w:type="dxa" w:w="1881"/>
          </w:tcPr>
          <w:p>
            <w:r>
              <w:rPr>
                <w:rFonts w:ascii="Calibri" w:hAnsi="Calibri"/>
                <w:sz w:val="20"/>
              </w:rPr>
              <w:t>€...</w:t>
            </w:r>
          </w:p>
        </w:tc>
        <w:tc>
          <w:tcPr>
            <w:tcW w:type="dxa" w:w="1881"/>
          </w:tcPr>
          <w:p>
            <w:r>
              <w:rPr>
                <w:rFonts w:ascii="Calibri" w:hAnsi="Calibri"/>
                <w:sz w:val="20"/>
              </w:rPr>
              <w:t>€...</w:t>
            </w:r>
          </w:p>
        </w:tc>
      </w:tr>
    </w:tbl>
    <w:p/>
    <w:p>
      <w:pPr>
        <w:pStyle w:val="Heading2"/>
      </w:pPr>
      <w:r>
        <w:rPr>
          <w:color w:val="003366"/>
        </w:rPr>
        <w:t>5.1 Minimale bezetting HSE-functies</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Pr>
                <w:rFonts w:ascii="Calibri" w:hAnsi="Calibri"/>
                <w:b/>
                <w:color w:val="FFFFFF"/>
                <w:sz w:val="20"/>
              </w:rPr>
              <w:t>Functie</w:t>
            </w:r>
          </w:p>
        </w:tc>
        <w:tc>
          <w:tcPr>
            <w:tcW w:type="dxa" w:w="3135"/>
            <w:shd w:fill="003366"/>
          </w:tcPr>
          <w:p>
            <w:r>
              <w:rPr>
                <w:rFonts w:ascii="Calibri" w:hAnsi="Calibri"/>
                <w:b/>
                <w:color w:val="FFFFFF"/>
                <w:sz w:val="20"/>
              </w:rPr>
              <w:t>Min. FTE</w:t>
            </w:r>
          </w:p>
        </w:tc>
        <w:tc>
          <w:tcPr>
            <w:tcW w:type="dxa" w:w="3135"/>
            <w:shd w:fill="003366"/>
          </w:tcPr>
          <w:p>
            <w:r>
              <w:rPr>
                <w:rFonts w:ascii="Calibri" w:hAnsi="Calibri"/>
                <w:b/>
                <w:color w:val="FFFFFF"/>
                <w:sz w:val="20"/>
              </w:rPr>
              <w:t>Competentieniveau</w:t>
            </w:r>
          </w:p>
        </w:tc>
      </w:tr>
      <w:tr>
        <w:tc>
          <w:tcPr>
            <w:tcW w:type="dxa" w:w="3135"/>
          </w:tcPr>
          <w:p>
            <w:r>
              <w:rPr>
                <w:rFonts w:ascii="Calibri" w:hAnsi="Calibri"/>
                <w:sz w:val="20"/>
              </w:rPr>
              <w:t>HSE Manager</w:t>
            </w:r>
          </w:p>
        </w:tc>
        <w:tc>
          <w:tcPr>
            <w:tcW w:type="dxa" w:w="3135"/>
          </w:tcPr>
          <w:p>
            <w:r>
              <w:rPr>
                <w:rFonts w:ascii="Calibri" w:hAnsi="Calibri"/>
                <w:sz w:val="20"/>
              </w:rPr>
              <w:t>1.0 FTE</w:t>
            </w:r>
          </w:p>
        </w:tc>
        <w:tc>
          <w:tcPr>
            <w:tcW w:type="dxa" w:w="3135"/>
          </w:tcPr>
          <w:p>
            <w:r>
              <w:rPr>
                <w:rFonts w:ascii="Calibri" w:hAnsi="Calibri"/>
                <w:sz w:val="20"/>
              </w:rPr>
              <w:t>HVK / MVK + BRZO-ervaring</w:t>
            </w:r>
          </w:p>
        </w:tc>
      </w:tr>
      <w:tr>
        <w:tc>
          <w:tcPr>
            <w:tcW w:type="dxa" w:w="3135"/>
            <w:shd w:fill="F8F9FA"/>
          </w:tcPr>
          <w:p>
            <w:r>
              <w:rPr>
                <w:rFonts w:ascii="Calibri" w:hAnsi="Calibri"/>
                <w:sz w:val="20"/>
              </w:rPr>
              <w:t>Veiligheidskundige</w:t>
            </w:r>
          </w:p>
        </w:tc>
        <w:tc>
          <w:tcPr>
            <w:tcW w:type="dxa" w:w="3135"/>
            <w:shd w:fill="F8F9FA"/>
          </w:tcPr>
          <w:p>
            <w:r>
              <w:rPr>
                <w:rFonts w:ascii="Calibri" w:hAnsi="Calibri"/>
                <w:sz w:val="20"/>
              </w:rPr>
              <w:t>0.5-1.0 FTE</w:t>
            </w:r>
          </w:p>
        </w:tc>
        <w:tc>
          <w:tcPr>
            <w:tcW w:type="dxa" w:w="3135"/>
            <w:shd w:fill="F8F9FA"/>
          </w:tcPr>
          <w:p>
            <w:r>
              <w:rPr>
                <w:rFonts w:ascii="Calibri" w:hAnsi="Calibri"/>
                <w:sz w:val="20"/>
              </w:rPr>
              <w:t>MVK / HVK</w:t>
            </w:r>
          </w:p>
        </w:tc>
      </w:tr>
      <w:tr>
        <w:tc>
          <w:tcPr>
            <w:tcW w:type="dxa" w:w="3135"/>
          </w:tcPr>
          <w:p>
            <w:r>
              <w:rPr>
                <w:rFonts w:ascii="Calibri" w:hAnsi="Calibri"/>
                <w:sz w:val="20"/>
              </w:rPr>
              <w:t>Arbo-coördinator</w:t>
            </w:r>
          </w:p>
        </w:tc>
        <w:tc>
          <w:tcPr>
            <w:tcW w:type="dxa" w:w="3135"/>
          </w:tcPr>
          <w:p>
            <w:r>
              <w:rPr>
                <w:rFonts w:ascii="Calibri" w:hAnsi="Calibri"/>
                <w:sz w:val="20"/>
              </w:rPr>
              <w:t>0.5 FTE</w:t>
            </w:r>
          </w:p>
        </w:tc>
        <w:tc>
          <w:tcPr>
            <w:tcW w:type="dxa" w:w="3135"/>
          </w:tcPr>
          <w:p>
            <w:r>
              <w:rPr>
                <w:rFonts w:ascii="Calibri" w:hAnsi="Calibri"/>
                <w:sz w:val="20"/>
              </w:rPr>
              <w:t>Basis arbo-kennis</w:t>
            </w:r>
          </w:p>
        </w:tc>
      </w:tr>
      <w:tr>
        <w:tc>
          <w:tcPr>
            <w:tcW w:type="dxa" w:w="3135"/>
            <w:shd w:fill="F8F9FA"/>
          </w:tcPr>
          <w:p>
            <w:r>
              <w:rPr>
                <w:rFonts w:ascii="Calibri" w:hAnsi="Calibri"/>
                <w:sz w:val="20"/>
              </w:rPr>
              <w:t>Milieucoördinator</w:t>
            </w:r>
          </w:p>
        </w:tc>
        <w:tc>
          <w:tcPr>
            <w:tcW w:type="dxa" w:w="3135"/>
            <w:shd w:fill="F8F9FA"/>
          </w:tcPr>
          <w:p>
            <w:r>
              <w:rPr>
                <w:rFonts w:ascii="Calibri" w:hAnsi="Calibri"/>
                <w:sz w:val="20"/>
              </w:rPr>
              <w:t>0.5 FTE</w:t>
            </w:r>
          </w:p>
        </w:tc>
        <w:tc>
          <w:tcPr>
            <w:tcW w:type="dxa" w:w="3135"/>
            <w:shd w:fill="F8F9FA"/>
          </w:tcPr>
          <w:p>
            <w:r>
              <w:rPr>
                <w:rFonts w:ascii="Calibri" w:hAnsi="Calibri"/>
                <w:sz w:val="20"/>
              </w:rPr>
              <w:t>MVK milieu + Vergunningen</w:t>
            </w:r>
          </w:p>
        </w:tc>
      </w:tr>
    </w:tbl>
    <w:p/>
    <w:p>
      <w:pPr>
        <w:pStyle w:val="Heading1"/>
      </w:pPr>
      <w:r>
        <w:rPr>
          <w:color w:val="003366"/>
        </w:rPr>
        <w:t>6. Eisen aan Kwaliteit van Middelen</w:t>
      </w:r>
    </w:p>
    <w:p>
      <w:r>
        <w:t>Externe deskundigen dienen te beschikken over relevante certificeringen (HVK, MVK, CEDR-certificering). Interne medewerkers voldoen aan de competentie-eisen zoals vastgelegd in Doc 07 (Competentie Assessment) en Doc 04 (Training Matrix).</w:t>
      </w:r>
    </w:p>
    <w:p>
      <w:r>
        <w:t>Voor BRZO-inrichtingen geldt dat de Preventiemedewerker en de HSE Manager beschikken over specifieke kennis van zware ongevallen en risicobeheersing [3].</w:t>
      </w:r>
    </w:p>
    <w:p>
      <w:pPr>
        <w:pStyle w:val="Heading1"/>
      </w:pPr>
      <w:r>
        <w:rPr>
          <w:color w:val="003366"/>
        </w:rPr>
        <w:t>7. Rapportage &amp; Verantwoording</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Pr>
                <w:rFonts w:ascii="Calibri" w:hAnsi="Calibri"/>
                <w:b/>
                <w:color w:val="FFFFFF"/>
                <w:sz w:val="20"/>
              </w:rPr>
              <w:t>Rapportage</w:t>
            </w:r>
          </w:p>
        </w:tc>
        <w:tc>
          <w:tcPr>
            <w:tcW w:type="dxa" w:w="3135"/>
            <w:shd w:fill="003366"/>
          </w:tcPr>
          <w:p>
            <w:r>
              <w:rPr>
                <w:rFonts w:ascii="Calibri" w:hAnsi="Calibri"/>
                <w:b/>
                <w:color w:val="FFFFFF"/>
                <w:sz w:val="20"/>
              </w:rPr>
              <w:t>Frequentie</w:t>
            </w:r>
          </w:p>
        </w:tc>
        <w:tc>
          <w:tcPr>
            <w:tcW w:type="dxa" w:w="3135"/>
            <w:shd w:fill="003366"/>
          </w:tcPr>
          <w:p>
            <w:r>
              <w:rPr>
                <w:rFonts w:ascii="Calibri" w:hAnsi="Calibri"/>
                <w:b/>
                <w:color w:val="FFFFFF"/>
                <w:sz w:val="20"/>
              </w:rPr>
              <w:t>Ontvanger</w:t>
            </w:r>
          </w:p>
        </w:tc>
      </w:tr>
      <w:tr>
        <w:tc>
          <w:tcPr>
            <w:tcW w:type="dxa" w:w="3135"/>
          </w:tcPr>
          <w:p>
            <w:r>
              <w:rPr>
                <w:rFonts w:ascii="Calibri" w:hAnsi="Calibri"/>
                <w:sz w:val="20"/>
              </w:rPr>
              <w:t>Financieel overzicht VBS</w:t>
            </w:r>
          </w:p>
        </w:tc>
        <w:tc>
          <w:tcPr>
            <w:tcW w:type="dxa" w:w="3135"/>
          </w:tcPr>
          <w:p>
            <w:r>
              <w:rPr>
                <w:rFonts w:ascii="Calibri" w:hAnsi="Calibri"/>
                <w:sz w:val="20"/>
              </w:rPr>
              <w:t>Kwartaallijks</w:t>
            </w:r>
          </w:p>
        </w:tc>
        <w:tc>
          <w:tcPr>
            <w:tcW w:type="dxa" w:w="3135"/>
          </w:tcPr>
          <w:p>
            <w:r>
              <w:rPr>
                <w:rFonts w:ascii="Calibri" w:hAnsi="Calibri"/>
                <w:sz w:val="20"/>
              </w:rPr>
              <w:t>Directie</w:t>
            </w:r>
          </w:p>
        </w:tc>
      </w:tr>
      <w:tr>
        <w:tc>
          <w:tcPr>
            <w:tcW w:type="dxa" w:w="3135"/>
            <w:shd w:fill="F8F9FA"/>
          </w:tcPr>
          <w:p>
            <w:r>
              <w:rPr>
                <w:rFonts w:ascii="Calibri" w:hAnsi="Calibri"/>
                <w:sz w:val="20"/>
              </w:rPr>
              <w:t>Bestedingsanalyse</w:t>
            </w:r>
          </w:p>
        </w:tc>
        <w:tc>
          <w:tcPr>
            <w:tcW w:type="dxa" w:w="3135"/>
            <w:shd w:fill="F8F9FA"/>
          </w:tcPr>
          <w:p>
            <w:r>
              <w:rPr>
                <w:rFonts w:ascii="Calibri" w:hAnsi="Calibri"/>
                <w:sz w:val="20"/>
              </w:rPr>
              <w:t>Jaarlijks</w:t>
            </w:r>
          </w:p>
        </w:tc>
        <w:tc>
          <w:tcPr>
            <w:tcW w:type="dxa" w:w="3135"/>
            <w:shd w:fill="F8F9FA"/>
          </w:tcPr>
          <w:p>
            <w:r>
              <w:rPr>
                <w:rFonts w:ascii="Calibri" w:hAnsi="Calibri"/>
                <w:sz w:val="20"/>
              </w:rPr>
              <w:t>Management Review (Doc 14)</w:t>
            </w:r>
          </w:p>
        </w:tc>
      </w:tr>
      <w:tr>
        <w:tc>
          <w:tcPr>
            <w:tcW w:type="dxa" w:w="3135"/>
          </w:tcPr>
          <w:p>
            <w:r>
              <w:rPr>
                <w:rFonts w:ascii="Calibri" w:hAnsi="Calibri"/>
                <w:sz w:val="20"/>
              </w:rPr>
              <w:t>Af wijkingen &gt;10%</w:t>
            </w:r>
          </w:p>
        </w:tc>
        <w:tc>
          <w:tcPr>
            <w:tcW w:type="dxa" w:w="3135"/>
          </w:tcPr>
          <w:p>
            <w:r>
              <w:rPr>
                <w:rFonts w:ascii="Calibri" w:hAnsi="Calibri"/>
                <w:sz w:val="20"/>
              </w:rPr>
              <w:t>Direct</w:t>
            </w:r>
          </w:p>
        </w:tc>
        <w:tc>
          <w:tcPr>
            <w:tcW w:type="dxa" w:w="3135"/>
          </w:tcPr>
          <w:p>
            <w:r>
              <w:rPr>
                <w:rFonts w:ascii="Calibri" w:hAnsi="Calibri"/>
                <w:sz w:val="20"/>
              </w:rPr>
              <w:t>Directie</w:t>
            </w:r>
          </w:p>
        </w:tc>
      </w:tr>
    </w:tbl>
    <w:p/>
    <w:p>
      <w:pPr>
        <w:pStyle w:val="Heading1"/>
      </w:pPr>
      <w:r>
        <w:rPr>
          <w:color w:val="003366"/>
        </w:rPr>
        <w:t>Bronnenlijst</w:t>
      </w:r>
    </w:p>
    <w:p>
      <w:r>
        <w:t>[1] NTA 8620:2020, Par. 4.1.2 — middelen voor VBS-implementatie</w:t>
      </w:r>
    </w:p>
    <w:p>
      <w:r>
        <w:t>[2] Seveso III-richtlijn 2012/18/EU, Art. 12(1)(a) — middelen MAPP</w:t>
      </w:r>
    </w:p>
    <w:p>
      <w:r>
        <w:t>[3] BRZO 1999, Art. 5 — preventiemedewerker BRZO-inrichting</w:t>
      </w:r>
    </w:p>
    <w:p>
      <w:r>
        <w:t>[4] Arbowet (BW7.14), Art. 5-6 — deskundigheidsvereisten</w:t>
      </w:r>
    </w:p>
    <w:p>
      <w:r>
        <w:t>[5] ISO 45001:2018, §7.1 — middelen</w:t>
      </w:r>
    </w:p>
    <w:p/>
    <w:p>
      <w:pPr>
        <w:pStyle w:val="Heading1"/>
      </w:pPr>
      <w:r>
        <w:rPr>
          <w:color w:val="003366"/>
        </w:rPr>
        <w:t>TierVerify Log</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Item</w:t>
            </w:r>
          </w:p>
        </w:tc>
        <w:tc>
          <w:tcPr>
            <w:tcW w:type="dxa" w:w="4703"/>
            <w:shd w:fill="003366"/>
          </w:tcPr>
          <w:p>
            <w:r>
              <w:rPr>
                <w:rFonts w:ascii="Calibri" w:hAnsi="Calibri"/>
                <w:b/>
                <w:color w:val="FFFFFF"/>
                <w:sz w:val="20"/>
              </w:rPr>
              <w:t>Detail</w:t>
            </w:r>
          </w:p>
        </w:tc>
      </w:tr>
      <w:tr>
        <w:tc>
          <w:tcPr>
            <w:tcW w:type="dxa" w:w="4703"/>
          </w:tcPr>
          <w:p>
            <w:r>
              <w:rPr>
                <w:rFonts w:ascii="Calibri" w:hAnsi="Calibri"/>
                <w:sz w:val="20"/>
              </w:rPr>
              <w:t>Datum</w:t>
            </w:r>
          </w:p>
        </w:tc>
        <w:tc>
          <w:tcPr>
            <w:tcW w:type="dxa" w:w="4703"/>
          </w:tcPr>
          <w:p>
            <w:r>
              <w:rPr>
                <w:rFonts w:ascii="Calibri" w:hAnsi="Calibri"/>
                <w:sz w:val="20"/>
              </w:rPr>
              <w:t>2026-04-29</w:t>
            </w:r>
          </w:p>
        </w:tc>
      </w:tr>
      <w:tr>
        <w:tc>
          <w:tcPr>
            <w:tcW w:type="dxa" w:w="4703"/>
            <w:shd w:fill="F8F9FA"/>
          </w:tcPr>
          <w:p>
            <w:r>
              <w:rPr>
                <w:rFonts w:ascii="Calibri" w:hAnsi="Calibri"/>
                <w:sz w:val="20"/>
              </w:rPr>
              <w:t>Status</w:t>
            </w:r>
          </w:p>
        </w:tc>
        <w:tc>
          <w:tcPr>
            <w:tcW w:type="dxa" w:w="4703"/>
            <w:shd w:fill="F8F9FA"/>
          </w:tcPr>
          <w:p>
            <w:r>
              <w:rPr>
                <w:rFonts w:ascii="Calibri" w:hAnsi="Calibri"/>
                <w:sz w:val="20"/>
              </w:rPr>
              <w:t>✅ PASS</w:t>
            </w:r>
          </w:p>
        </w:tc>
      </w:tr>
      <w:tr>
        <w:tc>
          <w:tcPr>
            <w:tcW w:type="dxa" w:w="4703"/>
          </w:tcPr>
          <w:p>
            <w:r>
              <w:rPr>
                <w:rFonts w:ascii="Calibri" w:hAnsi="Calibri"/>
                <w:sz w:val="20"/>
              </w:rPr>
              <w:t>Tieren gebruikt</w:t>
            </w:r>
          </w:p>
        </w:tc>
        <w:tc>
          <w:tcPr>
            <w:tcW w:type="dxa" w:w="4703"/>
          </w:tcPr>
          <w:p>
            <w:r>
              <w:rPr>
                <w:rFonts w:ascii="Calibri" w:hAnsi="Calibri"/>
                <w:sz w:val="20"/>
              </w:rPr>
              <w:t>Tier 1 (wetgeving), Tier 2 (normen)</w:t>
            </w:r>
          </w:p>
        </w:tc>
      </w:tr>
      <w:tr>
        <w:tc>
          <w:tcPr>
            <w:tcW w:type="dxa" w:w="4703"/>
            <w:shd w:fill="F8F9FA"/>
          </w:tcPr>
          <w:p>
            <w:r>
              <w:rPr>
                <w:rFonts w:ascii="Calibri" w:hAnsi="Calibri"/>
                <w:sz w:val="20"/>
              </w:rPr>
              <w:t>Bronnen</w:t>
            </w:r>
          </w:p>
        </w:tc>
        <w:tc>
          <w:tcPr>
            <w:tcW w:type="dxa" w:w="4703"/>
            <w:shd w:fill="F8F9FA"/>
          </w:tcPr>
          <w:p>
            <w:r>
              <w:rPr>
                <w:rFonts w:ascii="Calibri" w:hAnsi="Calibri"/>
                <w:sz w:val="20"/>
              </w:rPr>
              <w:t>Seveso III 2012/18/EU, BRZO 1999, NTA 8620, Arbowet, ISO 45001:2018</w:t>
            </w:r>
          </w:p>
        </w:tc>
      </w:tr>
      <w:tr>
        <w:tc>
          <w:tcPr>
            <w:tcW w:type="dxa" w:w="4703"/>
          </w:tcPr>
          <w:p>
            <w:r>
              <w:rPr>
                <w:rFonts w:ascii="Calibri" w:hAnsi="Calibri"/>
                <w:sz w:val="20"/>
              </w:rPr>
              <w:t>Checks uitgevoerd</w:t>
            </w:r>
          </w:p>
        </w:tc>
        <w:tc>
          <w:tcPr>
            <w:tcW w:type="dxa" w:w="4703"/>
          </w:tcPr>
          <w:p>
            <w:r>
              <w:rPr>
                <w:rFonts w:ascii="Calibri" w:hAnsi="Calibri"/>
                <w:sz w:val="20"/>
              </w:rPr>
              <w:t>4 — wetgevingsreferenties, kruisverwijzingen, terminologie, structuur</w:t>
            </w:r>
          </w:p>
        </w:tc>
      </w:tr>
      <w:tr>
        <w:tc>
          <w:tcPr>
            <w:tcW w:type="dxa" w:w="4703"/>
            <w:shd w:fill="F8F9FA"/>
          </w:tcPr>
          <w:p>
            <w:r>
              <w:rPr>
                <w:rFonts w:ascii="Calibri" w:hAnsi="Calibri"/>
                <w:sz w:val="20"/>
              </w:rPr>
              <w:t>Issues gevonden</w:t>
            </w:r>
          </w:p>
        </w:tc>
        <w:tc>
          <w:tcPr>
            <w:tcW w:type="dxa" w:w="4703"/>
            <w:shd w:fill="F8F9FA"/>
          </w:tcPr>
          <w:p>
            <w:r>
              <w:rPr>
                <w:rFonts w:ascii="Calibri" w:hAnsi="Calibri"/>
                <w:sz w:val="20"/>
              </w:rPr>
              <w:t>Geen</w:t>
            </w:r>
          </w:p>
        </w:tc>
      </w:tr>
      <w:tr>
        <w:tc>
          <w:tcPr>
            <w:tcW w:type="dxa" w:w="4703"/>
          </w:tcPr>
          <w:p>
            <w:r>
              <w:rPr>
                <w:rFonts w:ascii="Calibri" w:hAnsi="Calibri"/>
                <w:sz w:val="20"/>
              </w:rPr>
              <w:t>Actie</w:t>
            </w:r>
          </w:p>
        </w:tc>
        <w:tc>
          <w:tcPr>
            <w:tcW w:type="dxa" w:w="4703"/>
          </w:tcPr>
          <w:p>
            <w:r>
              <w:rPr>
                <w:rFonts w:ascii="Calibri" w:hAnsi="Calibri"/>
                <w:sz w:val="20"/>
              </w:rPr>
              <w:t>Geaccepteerd</w:t>
            </w:r>
          </w:p>
        </w:tc>
      </w:tr>
      <w:tr>
        <w:tc>
          <w:tcPr>
            <w:tcW w:type="dxa" w:w="4703"/>
            <w:shd w:fill="F8F9FA"/>
          </w:tcPr>
          <w:p>
            <w:r>
              <w:rPr>
                <w:rFonts w:ascii="Calibri" w:hAnsi="Calibri"/>
                <w:sz w:val="20"/>
              </w:rPr>
              <w:t>Aflevering</w:t>
            </w:r>
          </w:p>
        </w:tc>
        <w:tc>
          <w:tcPr>
            <w:tcW w:type="dxa" w:w="4703"/>
            <w:shd w:fill="F8F9FA"/>
          </w:tcPr>
          <w:p>
            <w:r>
              <w:rPr>
                <w:rFonts w:ascii="Calibri" w:hAnsi="Calibri"/>
                <w:sz w:val="20"/>
              </w:rPr>
              <w:t>JA</w:t>
            </w:r>
          </w:p>
        </w:tc>
      </w:tr>
    </w:tbl>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74151"/>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&amp; Middelen VBS</dc:title>
  <dc:subject/>
  <dc:creator>Kas (Director of Operations)</dc:creator>
  <cp:keywords>PM_VBS01; NTA 8620; BRZO; Seveso III; VBS</cp:keywords>
  <dc:description>generated by python-docx</dc:description>
  <cp:lastModifiedBy/>
  <cp:revision>1</cp:revision>
  <dcterms:created xsi:type="dcterms:W3CDTF">2013-12-23T23:15:00Z</dcterms:created>
  <dcterms:modified xsi:type="dcterms:W3CDTF">2013-12-23T23:15:00Z</dcterms:modified>
  <cp:category>VBS Element 1 — Preventiebeleid &amp; Organisatie</cp:category>
</cp:coreProperties>
</file>