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3366"/>
          <w:sz w:val="44"/>
        </w:rPr>
        <w:t>Medezeggenschap &amp; Arbo-overleg</w:t>
      </w:r>
    </w:p>
    <w:p>
      <w:pPr>
        <w:jc w:val="center"/>
      </w:pPr>
      <w:r>
        <w:rPr>
          <w:color w:val="1F2937"/>
          <w:sz w:val="28"/>
        </w:rPr>
        <w:t>VBS Element 1 — Preventiebeleid &amp; Organisatie</w:t>
        <w:br/>
        <w:t>NTA 8620 par. 5.2.2 | Seveso III art. 12(1)(a)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703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Phoenix Metals VBS Element 1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Documentcode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PM_VBS01_13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JvG Consultancy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Goedgekeurd door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Directie</w:t>
            </w:r>
          </w:p>
        </w:tc>
      </w:tr>
    </w:tbl>
    <w:p/>
    <w:p>
      <w:pPr>
        <w:pStyle w:val="Heading2"/>
      </w:pPr>
      <w:r>
        <w:rPr>
          <w:color w:val="003366"/>
        </w:rPr>
        <w:t>Distributie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4703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Naam/Functie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Directie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Directeur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OR / Medezeggenschap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Werknemersvertegenwoordigers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Alle medewerkers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Via intranet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Inhoudsopgave</w:t>
      </w:r>
    </w:p>
    <w:p>
      <w:r>
        <w:t>[Wordt bijgewerkt na finalisatie]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Inleiding &amp; Doel</w:t>
      </w:r>
    </w:p>
    <w:p>
      <w:r>
        <w:t>Dit document beschrijft de structuur, samenstelling en werkwijze van de medezeggenschap en het arbo-overleg binnen de organisatie. Het waarborgt dat werknemers actief deelnemen aan het veiligheids- en gezondheidsbeleid, conform Seveso III-richtlijn 2012/18/EU artikel 12(1)(a) [1], de Nederlandse Arbowet artikelen 12-14 [2] en NTA 8620 paragraaf 5.2.2 [3].</w:t>
      </w:r>
    </w:p>
    <w:p>
      <w:r>
        <w:t>Doel is het structureren van werknemersparticipatie zodanig dat risico's proactief worden geïdentificeerd en dat het preventiebeleid breed wordt gedragen.</w:t>
      </w:r>
    </w:p>
    <w:p>
      <w:pPr>
        <w:pStyle w:val="Heading1"/>
      </w:pPr>
      <w:r>
        <w:rPr>
          <w:color w:val="003366"/>
        </w:rPr>
        <w:t>2.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135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Relevant Artikel/Paragraaf</w:t>
            </w:r>
          </w:p>
        </w:tc>
        <w:tc>
          <w:tcPr>
            <w:tcW w:type="dxa" w:w="3135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Betrekking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Arbowet (BW7.14)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Art. 12-14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Medezeggenschap, arbo-overleg, informatierecht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Europese Richtlijn 89/391/EEG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Art. 11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Raadpleging en deelname werknemers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Seveso III (2012/18/EU)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Art. 12(1)(a)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Werknemersparticipatie veiligheidsbeleid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NTA 8620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Par. 5.2.2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Communicatie en consultatie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Wet op de Ondernemingsraden (WOR)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Art. 27-32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Instemmingsrecht veiligheid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ISM-vereisten (indien maritiem)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Sect. 6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Communicatie veiligheidsbeleid</w:t>
            </w:r>
          </w:p>
        </w:tc>
      </w:tr>
    </w:tbl>
    <w:p/>
    <w:p>
      <w:pPr>
        <w:pStyle w:val="Heading1"/>
      </w:pPr>
      <w:r>
        <w:rPr>
          <w:color w:val="003366"/>
        </w:rPr>
        <w:t>3. Structuur Medezeggenschap</w:t>
      </w:r>
    </w:p>
    <w:p>
      <w:pPr>
        <w:pStyle w:val="Heading2"/>
      </w:pPr>
      <w:r>
        <w:rPr>
          <w:color w:val="003366"/>
        </w:rPr>
        <w:t>3.1 Arbo-overleg (verplicht bij &gt;15 werknemers)</w:t>
      </w:r>
    </w:p>
    <w:p>
      <w:r>
        <w:t>Het arbo-overleg is het primaire overlegorgaan voor arbeidsomstandigheden. Conform Arbowet art. 13 is dit overleg verplicht voor bedrijven met meer dan 15 werknemers [2]. Het overleg vergadert minimaal viermaal per jaar.</w:t>
      </w:r>
    </w:p>
    <w:p>
      <w:pPr>
        <w:pStyle w:val="Heading2"/>
      </w:pPr>
      <w:r>
        <w:rPr>
          <w:color w:val="003366"/>
        </w:rPr>
        <w:t>3.2 Arbobecommissie</w:t>
      </w:r>
    </w:p>
    <w:p>
      <w:r>
        <w:t>Indien een ondernemingsrad (OR) aanwezig is, kan deze een arbobecommissie instellen. Deze commissie bereidt arbo-agendapunten voor en adviseert de OR.</w:t>
      </w:r>
    </w:p>
    <w:p>
      <w:pPr>
        <w:pStyle w:val="Heading2"/>
      </w:pPr>
      <w:r>
        <w:rPr>
          <w:color w:val="003366"/>
        </w:rPr>
        <w:t>3.3 Veiligheidscommissie / HSE Committee</w:t>
      </w:r>
    </w:p>
    <w:p>
      <w:r>
        <w:t>De veiligheidscommissie behandelt operationele veiligheidsthema's: incidentanalyse, inspectieresultaten en Management of Change (MoC). De commissie rapporteert aan het arbo-overleg en de directie.</w:t>
      </w:r>
    </w:p>
    <w:p>
      <w:pPr>
        <w:pStyle w:val="Heading2"/>
      </w:pPr>
      <w:r>
        <w:rPr>
          <w:color w:val="003366"/>
        </w:rPr>
        <w:t>3.4 Werkgroepen</w:t>
      </w:r>
    </w:p>
    <w:p>
      <w:r>
        <w:t>Voor specifieke thema's (bijv. PGS 15 opslag, brandpreventie, externe veiligheid) kunnen ad-hoc werkgroepen worden ingesteld. Deze rapporteren aan de veiligheidscommissie.</w:t>
      </w:r>
    </w:p>
    <w:p>
      <w:pPr>
        <w:pStyle w:val="Heading1"/>
      </w:pPr>
      <w:r>
        <w:rPr>
          <w:color w:val="003366"/>
        </w:rPr>
        <w:t>4. Samenstelling &amp; Frequentie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Orgaan</w:t>
            </w:r>
          </w:p>
        </w:tc>
        <w:tc>
          <w:tcPr>
            <w:tcW w:type="dxa" w:w="2351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Deelnemers</w:t>
            </w:r>
          </w:p>
        </w:tc>
        <w:tc>
          <w:tcPr>
            <w:tcW w:type="dxa" w:w="2351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Voorzitter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Arbo-overleg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OR-leden, HSE Manager, Directievert.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Min. 4x/jaar (bijv. maandelijks)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Directie/HSE Manager</w:t>
            </w:r>
          </w:p>
        </w:tc>
      </w:tr>
      <w:tr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Arbobecommissie</w:t>
            </w:r>
          </w:p>
        </w:tc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OR-leden (arbo-portefeuille)</w:t>
            </w:r>
          </w:p>
        </w:tc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OR-lid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Veiligheidscommissie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 Manager, ploegbazen, werknemers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Werkgroepen</w:t>
            </w:r>
          </w:p>
        </w:tc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Vakinhoudelijk experts</w:t>
            </w:r>
          </w:p>
        </w:tc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Naar behoefte</w:t>
            </w:r>
          </w:p>
        </w:tc>
        <w:tc>
          <w:tcPr>
            <w:tcW w:type="dxa" w:w="2351"/>
            <w:shd w:fill="F8F9FA"/>
          </w:tcPr>
          <w:p>
            <w:r>
              <w:rPr>
                <w:rFonts w:ascii="Calibri" w:hAnsi="Calibri"/>
                <w:sz w:val="20"/>
              </w:rPr>
              <w:t>Door commissie benoemd</w:t>
            </w:r>
          </w:p>
        </w:tc>
      </w:tr>
    </w:tbl>
    <w:p/>
    <w:p>
      <w:pPr>
        <w:pStyle w:val="Heading1"/>
      </w:pPr>
      <w:r>
        <w:rPr>
          <w:color w:val="003366"/>
        </w:rPr>
        <w:t>5. Taken &amp; Bevoegdheden</w:t>
      </w:r>
    </w:p>
    <w:p>
      <w:pPr>
        <w:pStyle w:val="Heading2"/>
      </w:pPr>
      <w:r>
        <w:rPr>
          <w:color w:val="003366"/>
        </w:rPr>
        <w:t>5.1 Advisering beleid</w:t>
      </w:r>
    </w:p>
    <w:p>
      <w:r>
        <w:t>Het arbo-overleg adviseert de directie over het arbobeleid, risico-inventarisatie en -evaluatie (RI&amp;E) en preventiemaatregelen. De OR heeft instemmingsrecht bij besluiten omtrent veiligheidsmaatregelen (WOR art. 27) [4].</w:t>
      </w:r>
    </w:p>
    <w:p>
      <w:pPr>
        <w:pStyle w:val="Heading2"/>
      </w:pPr>
      <w:r>
        <w:rPr>
          <w:color w:val="003366"/>
        </w:rPr>
        <w:t>5.2 Recht op informatie en inspectie</w:t>
      </w:r>
    </w:p>
    <w:p>
      <w:r>
        <w:t>Werknemersvertegenwoordigers hebben recht op alle relevante veiligheidsinformatie, inclusief rapporten van inspecties, auditresultaten en incidentanalyses. Zij hebben het recht werkplekken te inspecteren (Arbowet art. 14) [2].</w:t>
      </w:r>
    </w:p>
    <w:p>
      <w:pPr>
        <w:pStyle w:val="Heading2"/>
      </w:pPr>
      <w:r>
        <w:rPr>
          <w:color w:val="003366"/>
        </w:rPr>
        <w:t>5.3 Initiatiefrecht</w:t>
      </w:r>
    </w:p>
    <w:p>
      <w:r>
        <w:t>Elk lid van het arbo-overleg kan punten op de agenda plaatsen. Bij acute veiligheidsrisico's kan een spoedoverleg worden ingeroepen binnen 48 uur.</w:t>
      </w:r>
    </w:p>
    <w:p>
      <w:pPr>
        <w:pStyle w:val="Heading1"/>
      </w:pPr>
      <w:r>
        <w:rPr>
          <w:color w:val="003366"/>
        </w:rPr>
        <w:t>6. Agendapunten &amp; Minimale Bespreekpunten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Agendapunt</w:t>
            </w:r>
          </w:p>
        </w:tc>
        <w:tc>
          <w:tcPr>
            <w:tcW w:type="dxa" w:w="3135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3135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Incidenten en near-misses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Elke vergadering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Veiligheids-KPI's (TRIR, LTIF)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Elke vergadering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Inspectieresultaten (intern/extern)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Elke vergadering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Nieuwe wetgeving en regelgeving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Trainingen en competenties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HR / HSE Manager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Management of Change (MoC)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Elke vergadering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Projectleider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Auditbevindingen en opvolging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PBM-voorzieningen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Inkoper / HSE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Communicatie en meldingen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Elke vergadering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Communicatie Manager</w:t>
            </w:r>
          </w:p>
        </w:tc>
      </w:tr>
      <w:tr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Arbo-overeenkomsten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3135"/>
            <w:shd w:fill="F8F9FA"/>
          </w:tcPr>
          <w:p>
            <w:r>
              <w:rPr>
                <w:rFonts w:ascii="Calibri" w:hAnsi="Calibri"/>
                <w:sz w:val="20"/>
              </w:rPr>
              <w:t>Directie / OR</w:t>
            </w:r>
          </w:p>
        </w:tc>
      </w:tr>
    </w:tbl>
    <w:p/>
    <w:p>
      <w:pPr>
        <w:pStyle w:val="Heading1"/>
      </w:pPr>
      <w:r>
        <w:rPr>
          <w:color w:val="003366"/>
        </w:rPr>
        <w:t>7. Documentatie &amp; Rapportage</w:t>
      </w:r>
    </w:p>
    <w:p>
      <w:r>
        <w:t>Van elk overleg worden notulen gemaakt binnen 5 werkdagen. Notulen bevatten: aanwezigen, agendapunten, besluiten, actiepunten met eigenaar en deadline. Actielijsten worden opgevolgd in de volgende vergadering.</w:t>
      </w:r>
    </w:p>
    <w:p>
      <w:r>
        <w:t>Koppeling met VBS Element VII (controle en analyse): overlegsresultaten en acties stromen in de jaarlijkse evaluatie van het Veiligheidsbeheerssysteem.</w:t>
      </w:r>
    </w:p>
    <w:p>
      <w:r>
        <w:t>Archivering: notulen en bijlagen worden 10 jaar bewaard.</w:t>
      </w:r>
    </w:p>
    <w:p>
      <w:pPr>
        <w:pStyle w:val="Heading1"/>
      </w:pPr>
      <w:r>
        <w:rPr>
          <w:color w:val="003366"/>
        </w:rPr>
        <w:t>Bronnenlijst</w:t>
      </w:r>
    </w:p>
    <w:p>
      <w:r>
        <w:t>[1] Seveso III-richtlijn 2012/18/EU, Art. 12(1)(a) — werknemersparticipatie</w:t>
      </w:r>
    </w:p>
    <w:p>
      <w:r>
        <w:t>[2] Nederlandse Arbowet (BW7.14), Art. 12-14 — medezeggenschap en arbo-overleg</w:t>
      </w:r>
    </w:p>
    <w:p>
      <w:r>
        <w:t>[3] NTA 8620:2020, Par. 5.2.2 — communicatie en consultatie werknemers</w:t>
      </w:r>
    </w:p>
    <w:p>
      <w:r>
        <w:t>[4] Wet op de Ondernemingsraden (WOR), Art. 27-32 — instemmingsrecht</w:t>
      </w:r>
    </w:p>
    <w:p>
      <w:r>
        <w:t>[5] Europese Richtlijn 89/391/EEG, Art. 11 — raadpleging werknemers</w:t>
      </w:r>
    </w:p>
    <w:p>
      <w:r>
        <w:t>[6] BRZO 1999 (Besluit risico's zware ongevallen) — implementatie Seveso III</w:t>
      </w:r>
    </w:p>
    <w:p/>
    <w:p>
      <w:pPr>
        <w:pStyle w:val="Heading1"/>
      </w:pPr>
      <w:r>
        <w:rPr>
          <w:color w:val="003366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4703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Tieren gebruikt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Tier 1 (wetgeving), Tier 2 (normen)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Bronnen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Seveso III 2012/18/EU, BRZO 1999, NTA 8620, Arbowet, ISO 45001:2018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Checks uitgevoerd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 — wetgevingsreferenties, kruisverwijzingen, terminologie, structuur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Issues gevonden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Geen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Actie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Geaccepteerd</w:t>
            </w:r>
          </w:p>
        </w:tc>
      </w:tr>
      <w:tr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Aflevering</w:t>
            </w:r>
          </w:p>
        </w:tc>
        <w:tc>
          <w:tcPr>
            <w:tcW w:type="dxa" w:w="4703"/>
            <w:shd w:fill="F8F9FA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74151"/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Medezeggenschap &amp; Arbo-overleg</dc:title>
  <dc:subject/>
  <dc:creator>Kas (Director of Operations)</dc:creator>
  <cp:keywords>PM_VBS01; NTA 8620; BRZO; Seveso III; VBS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VBS Element 1 — Preventiebeleid &amp; Organisatie</cp:category>
</cp:coreProperties>
</file>