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VEILIGHEIDSPRESTATIE-INDICATOREN</w:t>
      </w:r>
    </w:p>
    <w:p>
      <w:pPr>
        <w:jc w:val="center"/>
      </w:pPr>
      <w:r>
        <w:rPr>
          <w:rFonts w:ascii="Calibri" w:hAnsi="Calibri"/>
          <w:color w:val="003366"/>
          <w:sz w:val="28"/>
        </w:rPr>
        <w:t>Phoenix Metals B.V. — VBS Element 1: Organisatie en Personeel</w:t>
      </w:r>
    </w:p>
    <w:p/>
    <w:p>
      <w:pPr>
        <w:jc w:val="center"/>
      </w:pPr>
      <w:r>
        <w:rPr>
          <w:b/>
          <w:color w:val="003366"/>
          <w:sz w:val="22"/>
        </w:rPr>
        <w:t xml:space="preserve">Documentcode: </w:t>
      </w:r>
      <w:r>
        <w:rPr>
          <w:color w:val="1F2937"/>
          <w:sz w:val="22"/>
        </w:rPr>
        <w:t>MO-230-01</w:t>
      </w:r>
    </w:p>
    <w:p>
      <w:pPr>
        <w:jc w:val="center"/>
      </w:pPr>
      <w:r>
        <w:rPr>
          <w:b/>
          <w:color w:val="003366"/>
          <w:sz w:val="22"/>
        </w:rPr>
        <w:t xml:space="preserve">Versie: </w:t>
      </w:r>
      <w:r>
        <w:rPr>
          <w:color w:val="1F2937"/>
          <w:sz w:val="22"/>
        </w:rPr>
        <w:t>1.0</w:t>
      </w:r>
    </w:p>
    <w:p>
      <w:pPr>
        <w:jc w:val="center"/>
      </w:pPr>
      <w:r>
        <w:rPr>
          <w:b/>
          <w:color w:val="003366"/>
          <w:sz w:val="22"/>
        </w:rPr>
        <w:t xml:space="preserve">Datum: </w:t>
      </w:r>
      <w:r>
        <w:rPr>
          <w:color w:val="1F2937"/>
          <w:sz w:val="22"/>
        </w:rPr>
        <w:t>28 april 2026</w:t>
      </w:r>
    </w:p>
    <w:p>
      <w:pPr>
        <w:jc w:val="center"/>
      </w:pPr>
      <w:r>
        <w:rPr>
          <w:b/>
          <w:color w:val="003366"/>
          <w:sz w:val="22"/>
        </w:rPr>
        <w:t xml:space="preserve">Auteur: </w:t>
      </w:r>
      <w:r>
        <w:rPr>
          <w:color w:val="1F2937"/>
          <w:sz w:val="22"/>
        </w:rPr>
        <w:t>JvG Consultancy</w:t>
      </w:r>
    </w:p>
    <w:p>
      <w:pPr>
        <w:jc w:val="center"/>
      </w:pPr>
      <w:r>
        <w:rPr>
          <w:b/>
          <w:color w:val="003366"/>
          <w:sz w:val="22"/>
        </w:rPr>
        <w:t xml:space="preserve">Goedkeuring: </w:t>
      </w:r>
      <w:r>
        <w:rPr>
          <w:color w:val="1F2937"/>
          <w:sz w:val="22"/>
        </w:rPr>
        <w:t>Stijn van Zelst, Managing Director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pPr>
        <w:spacing w:after="40"/>
      </w:pPr>
      <w:r>
        <w:rPr>
          <w:color w:val="1F2937"/>
          <w:sz w:val="22"/>
        </w:rPr>
        <w:t>1. Doel en Toepassingsgebied</w:t>
      </w:r>
    </w:p>
    <w:p>
      <w:pPr>
        <w:spacing w:after="40"/>
      </w:pPr>
      <w:r>
        <w:rPr>
          <w:color w:val="1F2937"/>
          <w:sz w:val="22"/>
        </w:rPr>
        <w:t>2. Indicatoren Framework — Leading vs Lagging</w:t>
      </w:r>
    </w:p>
    <w:p>
      <w:pPr>
        <w:spacing w:after="40"/>
      </w:pPr>
      <w:r>
        <w:rPr>
          <w:color w:val="1F2937"/>
          <w:sz w:val="22"/>
        </w:rPr>
        <w:t xml:space="preserve">   2.1 Leading Indicators (Proactief)</w:t>
      </w:r>
    </w:p>
    <w:p>
      <w:pPr>
        <w:spacing w:after="40"/>
      </w:pPr>
      <w:r>
        <w:rPr>
          <w:color w:val="1F2937"/>
          <w:sz w:val="22"/>
        </w:rPr>
        <w:t xml:space="preserve">   2.2 Lagging Indicators (Reactief)</w:t>
      </w:r>
    </w:p>
    <w:p>
      <w:pPr>
        <w:spacing w:after="40"/>
      </w:pPr>
      <w:r>
        <w:rPr>
          <w:color w:val="1F2937"/>
          <w:sz w:val="22"/>
        </w:rPr>
        <w:t>3. Meetmethode per Indicator</w:t>
      </w:r>
    </w:p>
    <w:p>
      <w:pPr>
        <w:spacing w:after="40"/>
      </w:pPr>
      <w:r>
        <w:rPr>
          <w:color w:val="1F2937"/>
          <w:sz w:val="22"/>
        </w:rPr>
        <w:t>4. Rapportage en Review</w:t>
      </w:r>
    </w:p>
    <w:p>
      <w:pPr>
        <w:spacing w:after="40"/>
      </w:pPr>
      <w:r>
        <w:rPr>
          <w:color w:val="1F2937"/>
          <w:sz w:val="22"/>
        </w:rPr>
        <w:t>5. Benchmarking</w:t>
      </w:r>
    </w:p>
    <w:p>
      <w:pPr>
        <w:spacing w:after="40"/>
      </w:pPr>
      <w:r>
        <w:rPr>
          <w:color w:val="1F2937"/>
          <w:sz w:val="22"/>
        </w:rPr>
        <w:t>6. Bijsturing</w:t>
      </w:r>
    </w:p>
    <w:p>
      <w:pPr>
        <w:spacing w:after="40"/>
      </w:pPr>
      <w:r>
        <w:rPr>
          <w:color w:val="1F2937"/>
          <w:sz w:val="22"/>
        </w:rPr>
        <w:t>7. Gerelateerde Documenten</w:t>
      </w:r>
    </w:p>
    <w:p>
      <w:pPr>
        <w:spacing w:after="40"/>
      </w:pPr>
      <w:r>
        <w:rPr>
          <w:color w:val="1F2937"/>
          <w:sz w:val="22"/>
        </w:rPr>
        <w:t>8. Bronverwijzingen</w:t>
      </w:r>
    </w:p>
    <w:p>
      <w:pPr>
        <w:spacing w:after="40"/>
      </w:pPr>
      <w:r>
        <w:rPr>
          <w:color w:val="1F2937"/>
          <w:sz w:val="22"/>
        </w:rPr>
        <w:t>9. TierVerify Log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Toepassingsgebied</w:t>
      </w:r>
    </w:p>
    <w:p>
      <w:r>
        <w:t>Dit document definieert de veiligheidsprestatie-indicatoren (KPI's) voor Phoenix Metals B.V. Het doel is het kwantificeren van de veiligheidsprestatie om trends te identificeren en tijdig bij te sturen [1][2][3].</w:t>
      </w:r>
    </w:p>
    <w:p>
      <w:r>
        <w:t>Toepassingsgebied: alle Phoenix Metals locaties (PlantOne IJmuiden, Rotterdam). De indicatoren worden kwartaalwijs gemeten en jaarlijks geaggregeerd.</w:t>
      </w:r>
    </w:p>
    <w:p>
      <w:r>
        <w:rPr>
          <w:b/>
        </w:rPr>
        <w:t xml:space="preserve">Wettelijke basis: </w:t>
      </w:r>
      <w:r>
        <w:t>Bijlage III Seveso III 2012/18/EU [1], NTA 8620 [2], ISO 45001:2018 Clausule 9.1 [3].</w:t>
      </w:r>
    </w:p>
    <w:p>
      <w:r>
        <w:t>Resultaten worden besproken in Management Review (PS-230, §8).</w:t>
      </w:r>
    </w:p>
    <w:p>
      <w:pPr>
        <w:pStyle w:val="Heading1"/>
      </w:pPr>
      <w:r>
        <w:rPr>
          <w:rFonts w:ascii="Calibri" w:hAnsi="Calibri"/>
          <w:color w:val="003366"/>
        </w:rPr>
        <w:t>2. Indicatoren Framework — Leading vs Lagging</w:t>
      </w:r>
    </w:p>
    <w:p>
      <w:r>
        <w:t>Het indicatorenframework onderscheidt leading (proactieve) en lagging (reactieve) indicatoren. Leading indicatoren meten of preventieve maatregelen worden uitgevoerd; lagging indicatoren meten de uitkomsten.</w:t>
      </w:r>
    </w:p>
    <w:p>
      <w:pPr>
        <w:pStyle w:val="Heading2"/>
      </w:pPr>
      <w:r>
        <w:rPr>
          <w:rFonts w:ascii="Calibri" w:hAnsi="Calibri"/>
          <w:color w:val="003366"/>
        </w:rPr>
        <w:t>2.1 Leading Indicators (Proactief)</w:t>
      </w:r>
    </w:p>
    <w:p>
      <w:r>
        <w:t>Deze meten of we de juiste dingen doen vóórdat iets misgaat.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Indicator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Definitie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Doelstelling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L1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Toolboxen uitgevoerd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% geplande toolboxen daadwerkelijk uitgevoerd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≥ 95%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PE-290-01-10 registratie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L2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TRA's uitgevoerd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Aantal TRA's per maand (totaal + per team)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≥ 1 per medewerker per week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TRA-systeem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L3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Trainingen gevolgd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% medewerkers met geldige trainingen (zie FM-310-01-01)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100%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Training Matrix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L4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Competentie assessments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% medewerkers met geldig assessment (zie FM-310-02)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100% jaarlijks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Jaarlijks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Assessment registratie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L5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Veiligheidsinspecties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Aantal uitgevoerde HSE inspecties per maand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≥ 4 per maand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Inspectierapporten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L6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Near-miss meldingen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Aantal near-miss meldingen per maand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Trend: stijgend (meldingsbereidheid)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Ultimo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L7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Inwerkprogramma voltooid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% nieuwe medewerkers met volledig inwerkprogramma (PE-310-01)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100% binnen 4 weken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HR registratie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L8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Onderaannemer inductie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% externe medewerkers met voltooide inductie (PE-310-04)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100% vóór aanvang werk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Inductie register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2.2 Lagging Indicators (Reactief)</w:t>
      </w:r>
    </w:p>
    <w:p>
      <w:r>
        <w:t>Deze meten wat er mis is gegaan.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568"/>
        <w:gridCol w:w="1568"/>
        <w:gridCol w:w="1568"/>
        <w:gridCol w:w="1568"/>
        <w:gridCol w:w="1568"/>
        <w:gridCol w:w="1568"/>
      </w:tblGrid>
      <w:tr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Indicator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Definitie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Doelstelling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568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G1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TRIF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(Registrabele incidenten × 1.000.000) / gewerkte uren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≤ 5,0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Ultimo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G2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LTIF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(Verzuimincidenten × 1.000.000) / gewerkte uren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≤ 2,0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Ultimo + HR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G3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Near-miss ratio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Near-miss meldingen / totaal meldingen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≥ 70%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Ultimo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G4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Ernstige incidenten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Aantal ernstige incidenten (Arbowet definitie)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0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Incidentrapporten</w:t>
            </w:r>
          </w:p>
        </w:tc>
      </w:tr>
      <w:tr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G5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Milieu-incidenten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Aantal milieu-incidenten (lekken, emissies)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0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</w:tcPr>
          <w:p>
            <w:r>
              <w:rPr>
                <w:rFonts w:ascii="Calibri" w:hAnsi="Calibri"/>
                <w:sz w:val="18"/>
              </w:rPr>
              <w:t>Milieuregistratie</w:t>
            </w:r>
          </w:p>
        </w:tc>
      </w:tr>
      <w:tr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G6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Hersteltijd na bevindingen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Gemiddelde dagen van bevinding → afsluiting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≤ 14 dagen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68"/>
            <w:shd w:fill="E5E7EB"/>
          </w:tcPr>
          <w:p>
            <w:r>
              <w:rPr>
                <w:rFonts w:ascii="Calibri" w:hAnsi="Calibri"/>
                <w:sz w:val="18"/>
              </w:rPr>
              <w:t>Actie-register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3. Meetmethode per Indicator</w:t>
      </w:r>
    </w:p>
    <w:p>
      <w:r>
        <w:rPr>
          <w:b/>
          <w:color w:val="003366"/>
          <w:sz w:val="22"/>
        </w:rPr>
        <w:t>L1 — Toolboxen uitgevoerd</w:t>
      </w:r>
    </w:p>
    <w:p>
      <w:pPr>
        <w:ind w:left="283"/>
      </w:pPr>
      <w:r>
        <w:t>Percentage = (uitgevoerde toolboxen / geplande toolboxen) × 100%. Data verzameld door teamleiders via PE-290-01-10 registratieformulier. Maandelijkse rapportage door HSE Manager.</w:t>
      </w:r>
    </w:p>
    <w:p>
      <w:r>
        <w:rPr>
          <w:b/>
          <w:color w:val="003366"/>
          <w:sz w:val="22"/>
        </w:rPr>
        <w:t>L2 — TRA's uitgevoerd</w:t>
      </w:r>
    </w:p>
    <w:p>
      <w:pPr>
        <w:ind w:left="283"/>
      </w:pPr>
      <w:r>
        <w:t>Telling van uitgevoerde TRA's per team per week. Geregistreerd in TRA-systeem. Maandelijkse aggregatie door HSE Coordinator.</w:t>
      </w:r>
    </w:p>
    <w:p>
      <w:r>
        <w:rPr>
          <w:b/>
          <w:color w:val="003366"/>
          <w:sz w:val="22"/>
        </w:rPr>
        <w:t>L3 — Trainingen gevolgd</w:t>
      </w:r>
    </w:p>
    <w:p>
      <w:pPr>
        <w:ind w:left="283"/>
      </w:pPr>
      <w:r>
        <w:t>Percentage medewerkers met geldige certificaten volgens FM-310-01-01. Kwartaalwijze extractie uit Training Matrix. Verantwoordelijke: HR Advisor.</w:t>
      </w:r>
    </w:p>
    <w:p>
      <w:r>
        <w:rPr>
          <w:b/>
          <w:color w:val="003366"/>
          <w:sz w:val="22"/>
        </w:rPr>
        <w:t>L4 — Competentie assessments</w:t>
      </w:r>
    </w:p>
    <w:p>
      <w:pPr>
        <w:ind w:left="283"/>
      </w:pPr>
      <w:r>
        <w:t>Percentage medewerkers met geldig assessment (binnen 12 maanden) volgens FM-310-02. Jaarlijkse inventarisatie. Verantwoordelijke: HR Advisor.</w:t>
      </w:r>
    </w:p>
    <w:p>
      <w:r>
        <w:rPr>
          <w:b/>
          <w:color w:val="003366"/>
          <w:sz w:val="22"/>
        </w:rPr>
        <w:t>L5 — Veiligheidsinspecties</w:t>
      </w:r>
    </w:p>
    <w:p>
      <w:pPr>
        <w:ind w:left="283"/>
      </w:pPr>
      <w:r>
        <w:t>Telling uitgevoerde HSE inspecties per maand. Geregistreerd in inspectieformulieren. Verantwoordelijke: HSE Manager.</w:t>
      </w:r>
    </w:p>
    <w:p>
      <w:r>
        <w:rPr>
          <w:b/>
          <w:color w:val="003366"/>
          <w:sz w:val="22"/>
        </w:rPr>
        <w:t>L6 — Near-miss meldingen</w:t>
      </w:r>
    </w:p>
    <w:p>
      <w:pPr>
        <w:ind w:left="283"/>
      </w:pPr>
      <w:r>
        <w:t>Telling via Ultimo meldingssysteem. Trendanalyse per kwartaal. Verantwoordelijke: HSE Coordinator.</w:t>
      </w:r>
    </w:p>
    <w:p>
      <w:r>
        <w:rPr>
          <w:b/>
          <w:color w:val="003366"/>
          <w:sz w:val="22"/>
        </w:rPr>
        <w:t>L7 — Inwerkprogramma voltooid</w:t>
      </w:r>
    </w:p>
    <w:p>
      <w:pPr>
        <w:ind w:left="283"/>
      </w:pPr>
      <w:r>
        <w:t>Percentage nieuwe medewerkers met volledig afgerond inwerkprogramma binnen 4 weken. Bron: HR registratie. Verantwoordelijke: Direct leidinggevende.</w:t>
      </w:r>
    </w:p>
    <w:p>
      <w:r>
        <w:rPr>
          <w:b/>
          <w:color w:val="003366"/>
          <w:sz w:val="22"/>
        </w:rPr>
        <w:t>L8 — Onderaannemer inductie</w:t>
      </w:r>
    </w:p>
    <w:p>
      <w:pPr>
        <w:ind w:left="283"/>
      </w:pPr>
      <w:r>
        <w:t>Percentage externe medewerkers met voltooide inductie vóór aanvang werkzaamheden. Bron: inductieregister. Verantwoordelijke: HSE Coordinator.</w:t>
      </w:r>
    </w:p>
    <w:p>
      <w:r>
        <w:rPr>
          <w:b/>
          <w:color w:val="003366"/>
          <w:sz w:val="22"/>
        </w:rPr>
        <w:t>G1 — TRIF</w:t>
      </w:r>
    </w:p>
    <w:p>
      <w:pPr>
        <w:ind w:left="283"/>
      </w:pPr>
      <w:r>
        <w:t>Formule: (aantal registrabele incidenten × 1.000.000) / totaal gewerkte uren. Bron: Ultimo + HR urenregistratie. Kwartaalberekening.</w:t>
      </w:r>
    </w:p>
    <w:p>
      <w:r>
        <w:rPr>
          <w:b/>
          <w:color w:val="003366"/>
          <w:sz w:val="22"/>
        </w:rPr>
        <w:t>G2 — LTIF</w:t>
      </w:r>
    </w:p>
    <w:p>
      <w:pPr>
        <w:ind w:left="283"/>
      </w:pPr>
      <w:r>
        <w:t>Formule: (aantal verzuimincidenten × 1.000.000) / totaal gewerkte uren. Bron: Ultimo + HR urenregistratie. Kwartaalberekening.</w:t>
      </w:r>
    </w:p>
    <w:p>
      <w:r>
        <w:rPr>
          <w:b/>
          <w:color w:val="003366"/>
          <w:sz w:val="22"/>
        </w:rPr>
        <w:t>G3 — Near-miss ratio</w:t>
      </w:r>
    </w:p>
    <w:p>
      <w:pPr>
        <w:ind w:left="283"/>
      </w:pPr>
      <w:r>
        <w:t>Formule: near-miss meldingen / totaal meldingen × 100%. Bron: Ultimo. Kwartaalberekening.</w:t>
      </w:r>
    </w:p>
    <w:p>
      <w:r>
        <w:rPr>
          <w:b/>
          <w:color w:val="003366"/>
          <w:sz w:val="22"/>
        </w:rPr>
        <w:t>G4 — Ernstige incidenten</w:t>
      </w:r>
    </w:p>
    <w:p>
      <w:pPr>
        <w:ind w:left="283"/>
      </w:pPr>
      <w:r>
        <w:t>Absolute telling conform Arbowet definitie (ziekenhuisopname, blijvend letsel). Bron: incidentrapporten. Verantwoordelijke: HSE Manager.</w:t>
      </w:r>
    </w:p>
    <w:p>
      <w:r>
        <w:rPr>
          <w:b/>
          <w:color w:val="003366"/>
          <w:sz w:val="22"/>
        </w:rPr>
        <w:t>G5 — Milieu-incidenten</w:t>
      </w:r>
    </w:p>
    <w:p>
      <w:pPr>
        <w:ind w:left="283"/>
      </w:pPr>
      <w:r>
        <w:t>Absolute telling milieu-incidenten (lekken, emissies boven drempelwaarden). Bron: milieuregistratie. Verantwoordelijke: Environmental Manager.</w:t>
      </w:r>
    </w:p>
    <w:p>
      <w:r>
        <w:rPr>
          <w:b/>
          <w:color w:val="003366"/>
          <w:sz w:val="22"/>
        </w:rPr>
        <w:t>G6 — Hersteltijd na bevindingen</w:t>
      </w:r>
    </w:p>
    <w:p>
      <w:pPr>
        <w:ind w:left="283"/>
      </w:pPr>
      <w:r>
        <w:t>Gemiddelde dagen tussen bevinding en afsluiting. Formule: som(hersteldagen) / aantal bevindingen. Bron: actie-register. Verantwoordelijke: HSE Coordinator.</w:t>
      </w:r>
    </w:p>
    <w:p>
      <w:pPr>
        <w:pStyle w:val="Heading1"/>
      </w:pPr>
      <w:r>
        <w:rPr>
          <w:rFonts w:ascii="Calibri" w:hAnsi="Calibri"/>
          <w:color w:val="003366"/>
        </w:rPr>
        <w:t>4. Rapportage en Review</w:t>
      </w:r>
    </w:p>
    <w:p>
      <w:r>
        <w:rPr>
          <w:b/>
        </w:rPr>
        <w:t xml:space="preserve">Maandelijks: </w:t>
      </w:r>
      <w:r>
        <w:t>Leading indicators dashboard opgesteld door HSE Manager, gedeeld met Management Team.</w:t>
      </w:r>
    </w:p>
    <w:p>
      <w:r>
        <w:rPr>
          <w:b/>
        </w:rPr>
        <w:t xml:space="preserve">Kwartaal: </w:t>
      </w:r>
      <w:r>
        <w:t>Volledig KPI-overzicht besproken in MT-vergadering en Management Review (PS-230, §8).</w:t>
      </w:r>
    </w:p>
    <w:p>
      <w:r>
        <w:rPr>
          <w:b/>
        </w:rPr>
        <w:t xml:space="preserve">Jaarlijks: </w:t>
      </w:r>
      <w:r>
        <w:t>Jaarrapportage als integraal onderdeel van PBZO jaarreview (PS-230, §8).</w:t>
      </w:r>
    </w:p>
    <w:p>
      <w:r>
        <w:rPr>
          <w:b/>
        </w:rPr>
        <w:t xml:space="preserve">Escalatie: </w:t>
      </w:r>
      <w:r>
        <w:t>Bij afwijking &gt; 20% van doelstelling → directe MT notificatie door HSE Manager.</w:t>
      </w:r>
    </w:p>
    <w:p>
      <w:pPr>
        <w:pStyle w:val="Heading1"/>
      </w:pPr>
      <w:r>
        <w:rPr>
          <w:rFonts w:ascii="Calibri" w:hAnsi="Calibri"/>
          <w:color w:val="003366"/>
        </w:rPr>
        <w:t>5. Benchmarking</w:t>
      </w:r>
    </w:p>
    <w:p>
      <w:r>
        <w:t>Phoenix Metals streeft ernaar boven het branche-gemiddelde te presteren. Vergelijking vindt plaats met de metaalverwerkingsindustrie en petrochemische sector. Bronnen: Arbeidsinspectie jaarrapportages [4], ILO Occupational Safety and Health Statistics [5].</w:t>
      </w:r>
    </w:p>
    <w:p>
      <w:pPr>
        <w:pStyle w:val="Heading1"/>
      </w:pPr>
      <w:r>
        <w:rPr>
          <w:rFonts w:ascii="Calibri" w:hAnsi="Calibri"/>
          <w:color w:val="003366"/>
        </w:rPr>
        <w:t>6. Bijsturing</w:t>
      </w:r>
    </w:p>
    <w:p>
      <w:pPr>
        <w:pStyle w:val="ListBullet"/>
      </w:pPr>
      <w:r>
        <w:t>Indien een indicator de rode zone bereikt (krittiek): root cause analysis binnen 1 week.</w:t>
      </w:r>
    </w:p>
    <w:p>
      <w:pPr>
        <w:pStyle w:val="ListBullet"/>
      </w:pPr>
      <w:r>
        <w:t>Correctieve acties worden vastgelegd in het actie-register met eigenaar en deadline.</w:t>
      </w:r>
    </w:p>
    <w:p>
      <w:pPr>
        <w:pStyle w:val="ListBullet"/>
      </w:pPr>
      <w:r>
        <w:t>Follow-up: de volgende rapportage toont de effectiviteit van genomen maatregelen.</w:t>
      </w:r>
    </w:p>
    <w:p>
      <w:pPr>
        <w:pStyle w:val="Heading1"/>
      </w:pPr>
      <w:r>
        <w:rPr>
          <w:rFonts w:ascii="Calibri" w:hAnsi="Calibri"/>
          <w:color w:val="003366"/>
        </w:rPr>
        <w:t>7. Gerelateerde Documenten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Nr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Code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PBZO Beleidsdocument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PS-230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Functieprofielen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PE-310-02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Organigram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PE-310-03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Training Matrix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FM-310-01-01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Inwerkprogramma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PE-310-01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6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Toolbox Meeting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PE-290-01-10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Competentie Assessment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FM-310-02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BASIS-training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TR-100-01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SPECIFIEKE-training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TR-200-01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10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Procedure Onderaannemers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PE-310-04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11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Veiligheidsprestatie-indicatoren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MO-230-01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8. Bronverwijzingen</w:t>
      </w:r>
    </w:p>
    <w:p>
      <w:r>
        <w:t>[1] Seveso III Richtlijn 2012/18/EU, Bijlage III — Prestatie-indicatoren major hazard prevention</w:t>
      </w:r>
    </w:p>
    <w:p>
      <w:r>
        <w:t>[2] NTA 8620 — Veiligheidsbranche Seveso-inrichtingen</w:t>
      </w:r>
    </w:p>
    <w:p>
      <w:r>
        <w:t>[3] ISO 45001:2018, Clausule 9.1 — Performance evaluation</w:t>
      </w:r>
    </w:p>
    <w:p>
      <w:r>
        <w:t>[4] Arbeidsinspectie — Jaarrapportage branches (metaalverwerking, petrochemie)</w:t>
      </w:r>
    </w:p>
    <w:p>
      <w:r>
        <w:t>[5] ILO — Occupational Safety and Health Statistics</w:t>
      </w:r>
    </w:p>
    <w:p>
      <w:r>
        <w:t>[6] IPLO.nl — Preventiebeleid en VBS Seveso</w:t>
      </w:r>
    </w:p>
    <w:p>
      <w:pPr>
        <w:pStyle w:val="Heading1"/>
      </w:pPr>
      <w:r>
        <w:rPr>
          <w:rFonts w:ascii="Calibri" w:hAnsi="Calibri"/>
          <w:color w:val="003366"/>
        </w:rPr>
        <w:t>9. TierVerify Log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3135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Wettelijke basis Seveso III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2012/18/EU, Bijlage III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NTA 8620 conformiteit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NTA 8620:2024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ISO 45001 Clausule 9.1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ISO 45001:2018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Koppeling PS-230 Management Review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PBZO Beleidsdocument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Koppeling FM-310-01-01 Training Matrix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Training Matrix doc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Koppeling FM-310-02 Competentie Assessment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Assessment doc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Inter-document referenties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11 documenten set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BRON: IPLO.nl preventiebeleid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IPLO.nl</w:t>
            </w:r>
          </w:p>
        </w:tc>
        <w:tc>
          <w:tcPr>
            <w:tcW w:type="dxa" w:w="3135"/>
            <w:shd w:fill="E5E7EB"/>
          </w:tcPr>
          <w:p>
            <w:r>
              <w:rPr>
                <w:rFonts w:ascii="Calibri" w:hAnsi="Calibri"/>
                <w:sz w:val="18"/>
              </w:rPr>
              <w:t>✅ Geverifieerd</w:t>
            </w:r>
          </w:p>
        </w:tc>
      </w:tr>
    </w:tbl>
    <w:p/>
    <w:p>
      <w:r>
        <w:rPr>
          <w:b/>
        </w:rPr>
        <w:t xml:space="preserve">TierVerify Status: </w:t>
      </w:r>
      <w:r>
        <w:rPr>
          <w:b/>
          <w:color w:val="008000"/>
        </w:rPr>
        <w:t>ALLE CHECKS GESLAAGD ✅</w:t>
      </w:r>
    </w:p>
    <w:p/>
    <w:p>
      <w:pPr>
        <w:jc w:val="right"/>
      </w:pPr>
      <w:r>
        <w:t>Document gegenereerd: 28 april 2026 | Verificatie: JvG Consultancy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03366"/>
        <w:sz w:val="16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