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4"/>
        </w:rPr>
        <w:t>SPECIFIEKE-TRAINING PROGRAMMA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Stofexplosie | Chemische Stoffen | TRA | LOTO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2268"/>
          </w:tcPr>
          <w:p>
            <w:r>
              <w:rPr>
                <w:rFonts w:ascii="Calibri" w:hAnsi="Calibri"/>
                <w:b/>
                <w:sz w:val="20"/>
              </w:rPr>
              <w:t>Documentcode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sz w:val="20"/>
              </w:rPr>
              <w:t>TR-200-01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sz w:val="20"/>
              </w:rPr>
              <w:t>Versie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sz w:val="20"/>
              </w:rPr>
              <w:t>Datum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sz w:val="20"/>
              </w:rPr>
              <w:t>28 april 2026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sz w:val="20"/>
              </w:rPr>
              <w:t>Auteur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sz w:val="20"/>
              </w:rPr>
              <w:t>JvG Consultancy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sz w:val="20"/>
              </w:rPr>
              <w:t>Goedkeuring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sz w:val="20"/>
              </w:rPr>
              <w:t>Stijn van Zelst, Managing Director</w:t>
            </w:r>
          </w:p>
        </w:tc>
      </w:tr>
      <w:tr>
        <w:tc>
          <w:tcPr>
            <w:tcW w:type="dxa" w:w="2268"/>
          </w:tcPr>
          <w:p>
            <w:r>
              <w:rPr>
                <w:rFonts w:ascii="Calibri" w:hAnsi="Calibri"/>
                <w:b/>
                <w:sz w:val="20"/>
              </w:rPr>
              <w:t>Project</w:t>
            </w:r>
          </w:p>
        </w:tc>
        <w:tc>
          <w:tcPr>
            <w:tcW w:type="dxa" w:w="4535"/>
          </w:tcPr>
          <w:p>
            <w:r>
              <w:rPr>
                <w:rFonts w:ascii="Calibri" w:hAnsi="Calibri"/>
                <w:sz w:val="20"/>
              </w:rPr>
              <w:t>Phoenix Metals — Veiligheidsbeheerssysteem (VBS)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1. Doel en Doelgroep</w:t>
      </w:r>
    </w:p>
    <w:p>
      <w:r>
        <w:rPr>
          <w:rFonts w:ascii="Calibri" w:hAnsi="Calibri"/>
          <w:b w:val="0"/>
          <w:sz w:val="22"/>
        </w:rPr>
        <w:t>Dit document beschrijft de specifieke trainingen voor medewerkers van Phoenix Metals met een verhoogd risicoprofiel. Deze trainingen zijn aanvullend op de BASIS-training (TR-100-01) en zijn verplicht conform Bijlage III van de Seveso III-richtlijn [1] en NTA 8620 [2].</w:t>
      </w:r>
    </w:p>
    <w:p>
      <w:pPr>
        <w:pStyle w:val="Heading2"/>
      </w:pPr>
      <w:r>
        <w:rPr>
          <w:color w:val="003366"/>
        </w:rPr>
        <w:t>1.1 Doel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Specifieke trainingen verzorgen voor medewerkers die werken met gevaarlijke stoffen, stofexplosie-risico's, taakrisicoanalyses (TRA) en lockout/tagout-procedures (LOTO)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Borging van voldoende competenties voor veilige taakuitvoering conform ISO 45001:2018, Clausule 7.2 [7]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Voldoen aan de wettelijke verplichtingen uit de Arbowet (art. 3 en art. 5) [3]</w:t>
      </w:r>
    </w:p>
    <w:p>
      <w:pPr>
        <w:pStyle w:val="Heading2"/>
      </w:pPr>
      <w:r>
        <w:rPr>
          <w:color w:val="003366"/>
        </w:rPr>
        <w:t>1.2 Doelgroep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Operatoren (productie en verwerking)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Technici (onderhoud en engineering)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HSE-medewerkers</w:t>
      </w:r>
    </w:p>
    <w:p>
      <w:r>
        <w:rPr>
          <w:rFonts w:ascii="Calibri" w:hAnsi="Calibri"/>
          <w:b w:val="0"/>
          <w:sz w:val="22"/>
        </w:rPr>
        <w:t>Kantoorpersoneel volgt uitsluitend de BASIS-training (TR-100-01) en valt buiten het bereik van dit programma.</w:t>
      </w:r>
    </w:p>
    <w:p>
      <w:pPr>
        <w:pStyle w:val="Heading2"/>
      </w:pPr>
      <w:r>
        <w:rPr>
          <w:color w:val="003366"/>
        </w:rPr>
        <w:t>1.3 Verplichting</w:t>
      </w:r>
    </w:p>
    <w:p>
      <w:r>
        <w:rPr>
          <w:rFonts w:ascii="Calibri" w:hAnsi="Calibri"/>
          <w:b w:val="0"/>
          <w:sz w:val="22"/>
        </w:rPr>
        <w:t>Alle bovenstaande trainingen zijn aangemerkt als Mandatory (M) in de Training Matrix (FM-310-01-01). Deze trainingen zijn onderdeel van het inwerkprogramma (PE-310-01, Week 2).</w:t>
      </w:r>
    </w:p>
    <w:p>
      <w:pPr>
        <w:pStyle w:val="Heading1"/>
      </w:pPr>
      <w:r>
        <w:rPr>
          <w:color w:val="003366"/>
        </w:rPr>
        <w:t>2. Overzicht Trainingen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2835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Training</w:t>
            </w:r>
          </w:p>
        </w:tc>
        <w:tc>
          <w:tcPr>
            <w:tcW w:type="dxa" w:w="1134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1417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Frequentie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Trainer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Code</w:t>
            </w:r>
          </w:p>
        </w:tc>
      </w:tr>
      <w:tr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A: Stofexplosiebewustzijn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3 uur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Jaarlijks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HSE Manager + extern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TR-200-01A</w:t>
            </w:r>
          </w:p>
        </w:tc>
      </w:tr>
      <w:tr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B: Chemische Stoffen (SDS-lezen)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2 uur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Jaarlijks</w:t>
            </w:r>
          </w:p>
        </w:tc>
        <w:tc>
          <w:tcPr>
            <w:tcW w:type="dxa" w:w="2268"/>
            <w:shd w:fill="F0F4F8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TR-200-01B</w:t>
            </w:r>
          </w:p>
        </w:tc>
      </w:tr>
      <w:tr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C: TRA-methode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2 uur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3-jaarlijks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TR-200-01C</w:t>
            </w:r>
          </w:p>
        </w:tc>
      </w:tr>
      <w:tr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D: Lockout/Tagout (LOTO)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3 uur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3-jaarlijks</w:t>
            </w:r>
          </w:p>
        </w:tc>
        <w:tc>
          <w:tcPr>
            <w:tcW w:type="dxa" w:w="2268"/>
            <w:shd w:fill="F0F4F8"/>
          </w:tcPr>
          <w:p>
            <w:r>
              <w:rPr>
                <w:rFonts w:ascii="Calibri" w:hAnsi="Calibri"/>
                <w:sz w:val="20"/>
              </w:rPr>
              <w:t>M&amp;R Manager + HSE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TR-200-01D</w:t>
            </w:r>
          </w:p>
        </w:tc>
      </w:tr>
    </w:tbl>
    <w:p/>
    <w:p>
      <w:pPr>
        <w:pStyle w:val="Heading1"/>
      </w:pPr>
      <w:r>
        <w:rPr>
          <w:color w:val="003366"/>
        </w:rPr>
        <w:t>3. Training A: Stofexplosiebewustzijn (3 uur) — TR-200-01A</w:t>
      </w:r>
    </w:p>
    <w:p>
      <w:pPr>
        <w:pStyle w:val="Heading2"/>
      </w:pPr>
      <w:r>
        <w:rPr>
          <w:color w:val="003366"/>
        </w:rPr>
        <w:t>3A.1 Leerdoelen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1. Begrijpen wat een stofexplosie is en welke stoffen bij Phoenix Metals risico vormen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2. Kennen van Kst-waarden en ATEX-zoneclassificatie (zones 20/21/22)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3. Herkennen van stofexplosiegevaar op de werkvloer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4. Toepassen van het reinigingsprotocol en antistatische maatregelen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5. Weten welke apparatuur ATEX-gecertificeerd moet zijn</w:t>
      </w:r>
    </w:p>
    <w:p>
      <w:pPr>
        <w:pStyle w:val="Heading2"/>
      </w:pPr>
      <w:r>
        <w:rPr>
          <w:color w:val="003366"/>
        </w:rPr>
        <w:t>3A.2 Programma (180 min)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850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Tijd</w:t>
            </w:r>
          </w:p>
        </w:tc>
        <w:tc>
          <w:tcPr>
            <w:tcW w:type="dxa" w:w="3402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1134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Methode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00:00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Theorie: wat is stofexplosie?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30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00:30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Kst-waarden: uitleg + Phoenix Metals stoffen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20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00:50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ATEX-zones: classificatie + zonekaart Phoenix Metals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25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 + kaart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01:15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Pauze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10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—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01:25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Ontstekingsbronnen: vonken, statisch, hete oppervlakken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20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01:45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Preventieve maatregelen: LEV, reiniging, aarding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25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Presentatie + video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02:10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Praktijk: werkplek inspectie — stofbronnen identificeren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30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Rondleiding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02:40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Reinigingsprotocol: oefenen met stofzuiger (geen bezems)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Praktijk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02:55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Toets + evaluatie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25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Schriftelijk</w:t>
            </w:r>
          </w:p>
        </w:tc>
      </w:tr>
    </w:tbl>
    <w:p>
      <w:pPr>
        <w:pStyle w:val="Heading2"/>
      </w:pPr>
      <w:r>
        <w:rPr>
          <w:color w:val="003366"/>
        </w:rPr>
        <w:t>3A.3 Inhoudsdetails</w:t>
      </w:r>
    </w:p>
    <w:p>
      <w:r>
        <w:rPr>
          <w:rFonts w:ascii="Calibri" w:hAnsi="Calibri"/>
          <w:b/>
          <w:sz w:val="22"/>
        </w:rPr>
        <w:t>Stofexplosiemechanisme</w:t>
      </w:r>
    </w:p>
    <w:p>
      <w:r>
        <w:rPr>
          <w:rFonts w:ascii="Calibri" w:hAnsi="Calibri"/>
          <w:b w:val="0"/>
          <w:sz w:val="22"/>
        </w:rPr>
        <w:t>Een stofexplosie ontstaat wanneer vijf voorwaarden gelijktijdig aanwezig zijn: stofwolk + ontstekingsbron + zuurstof + voldoende concentratie + confinement. Samen vormen deze de zogenaamde "stofexplosie-pentagon", resulterend in een deflagratie [4][5].</w:t>
      </w:r>
    </w:p>
    <w:p>
      <w:r>
        <w:rPr>
          <w:rFonts w:ascii="Calibri" w:hAnsi="Calibri"/>
          <w:b/>
          <w:sz w:val="22"/>
        </w:rPr>
        <w:t>Kst-waarden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2835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Stof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Kst (bar·m/s)</w:t>
            </w:r>
          </w:p>
        </w:tc>
        <w:tc>
          <w:tcPr>
            <w:tcW w:type="dxa" w:w="2835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Klasse</w:t>
            </w:r>
          </w:p>
        </w:tc>
      </w:tr>
      <w:tr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Aluminium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&gt;300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St-3 (sterke explosie)</w:t>
            </w:r>
          </w:p>
        </w:tc>
      </w:tr>
      <w:tr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Magnesium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&gt;300</w:t>
            </w:r>
          </w:p>
        </w:tc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St-3 (sterke explosie)</w:t>
            </w:r>
          </w:p>
        </w:tc>
      </w:tr>
      <w:tr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Titanium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&gt;200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St-2 (sterke explosie)</w:t>
            </w:r>
          </w:p>
        </w:tc>
      </w:tr>
      <w:tr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Vanadiumconcentraat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Te bepalen</w:t>
            </w:r>
          </w:p>
        </w:tc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Voorlopig St-1 (aanname)</w:t>
            </w:r>
          </w:p>
        </w:tc>
      </w:tr>
    </w:tbl>
    <w:p/>
    <w:p>
      <w:r>
        <w:rPr>
          <w:rFonts w:ascii="Calibri" w:hAnsi="Calibri"/>
          <w:b/>
          <w:sz w:val="22"/>
        </w:rPr>
        <w:t>ATEX-zones</w:t>
      </w:r>
    </w:p>
    <w:p>
      <w:r>
        <w:rPr>
          <w:rFonts w:ascii="Calibri" w:hAnsi="Calibri"/>
          <w:b w:val="0"/>
          <w:sz w:val="22"/>
        </w:rPr>
        <w:t>Zone 20: continue stofwolk (binnen silo's, filters). Zone 21: regelmatig stofwolk (rond slijpmachines, transferpunten). Zone 22: incidenteel stofwolk (opslag, transport). De exacte zone-indeling voor Phoenix Metals is vastgelegd in de RI&amp;E (verwijzing naar zonekaart) [4].</w:t>
      </w:r>
    </w:p>
    <w:p>
      <w:r>
        <w:rPr>
          <w:rFonts w:ascii="Calibri" w:hAnsi="Calibri"/>
          <w:b/>
          <w:sz w:val="22"/>
        </w:rPr>
        <w:t>Ontstekingsbronnen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Statische elektriciteit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Wrijving tussen materialen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Mechanische vonken (slijpen, boren)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Hete oppervlakken (&gt;200°C)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Elektrische apparatuur (schakelaars, contacten)</w:t>
      </w:r>
    </w:p>
    <w:p>
      <w:r>
        <w:rPr>
          <w:rFonts w:ascii="Calibri" w:hAnsi="Calibri"/>
          <w:b/>
          <w:sz w:val="22"/>
        </w:rPr>
        <w:t>Preventieve maatregelen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LEV (Local Exhaust Ventilation) op alle stofbronnen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Explosiedrukontlasting (venting) op filtersilo's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Explosie-isolatie tussen procesonderdelen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Dagelijks reinigingsprotocol (stofzuiger, geen bezems)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Aarding van alle apparatuur en transportmiddelen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Verbod op vlakke oppervlakken waar stof accumuleert</w:t>
      </w:r>
    </w:p>
    <w:p>
      <w:pPr>
        <w:pStyle w:val="Heading2"/>
      </w:pPr>
      <w:r>
        <w:rPr>
          <w:color w:val="003366"/>
        </w:rPr>
        <w:t>3A.4 Toets</w:t>
      </w:r>
    </w:p>
    <w:p>
      <w:r>
        <w:rPr>
          <w:rFonts w:ascii="Calibri" w:hAnsi="Calibri"/>
          <w:b w:val="0"/>
          <w:sz w:val="22"/>
        </w:rPr>
        <w:t>8 meerkeuzevragen, minimumscore 80% vereist. De toets deckt: Kst-waarden, ATEX-zones, ontstekingsbronnen en reinigingsprotocol.</w:t>
      </w:r>
    </w:p>
    <w:p>
      <w:pPr>
        <w:pStyle w:val="Heading1"/>
      </w:pPr>
      <w:r>
        <w:rPr>
          <w:color w:val="003366"/>
        </w:rPr>
        <w:t>4. Training B: Chemische Stoffen — SDS-lezen (2 uur) — TR-200-01B</w:t>
      </w:r>
    </w:p>
    <w:p>
      <w:pPr>
        <w:pStyle w:val="Heading2"/>
      </w:pPr>
      <w:r>
        <w:rPr>
          <w:color w:val="003366"/>
        </w:rPr>
        <w:t>4B.1 Leerdoelen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1. Begrijpen van de SDS-structuur (16 secties) conform CLP-verordening [6]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2. Kunnen lezen en interpreteren van H-zinnen en P-zinnen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3. Kennen van GHS-pictogrammen en hun betekenis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4. Specifieke kennis van Phoenix Metals stoffen (V₂O₅, H₂SO₄, NaOH, Al₂(SO₄)₃)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5. Correcte PBM-selectie op basis van SDS</w:t>
      </w:r>
    </w:p>
    <w:p>
      <w:pPr>
        <w:pStyle w:val="Heading2"/>
      </w:pPr>
      <w:r>
        <w:rPr>
          <w:color w:val="003366"/>
        </w:rPr>
        <w:t>4B.2 Programma (120 min)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850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Tijd</w:t>
            </w:r>
          </w:p>
        </w:tc>
        <w:tc>
          <w:tcPr>
            <w:tcW w:type="dxa" w:w="3402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1134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Methode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00:00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SDS-structuur: 16 secties overzicht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20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00:20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GHS-pictogrammen: 9 pictogrammen + betekenis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Presentatie + kaarten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00:35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H-zinnen en P-zinnen: uitleg + oefening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20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 + werkblad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00:55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Pauze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10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—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01:05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Phoenix Metals stoffen: V₂O₅, H₂SO₄, NaOH, Al₂(SO₄)₃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25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01:30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Praktijk: SDS opzoeken en interpreteren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20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Groepswerk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01:50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Toets + evaluatie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10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Schriftelijk</w:t>
            </w:r>
          </w:p>
        </w:tc>
      </w:tr>
    </w:tbl>
    <w:p/>
    <w:p>
      <w:pPr>
        <w:pStyle w:val="Heading2"/>
      </w:pPr>
      <w:r>
        <w:rPr>
          <w:color w:val="003366"/>
        </w:rPr>
        <w:t>4B.3 Phoenix Metals Stoffen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512"/>
        <w:gridCol w:w="1512"/>
        <w:gridCol w:w="1512"/>
        <w:gridCol w:w="1512"/>
        <w:gridCol w:w="1512"/>
        <w:gridCol w:w="1512"/>
      </w:tblGrid>
      <w:tr>
        <w:tc>
          <w:tcPr>
            <w:tcW w:type="dxa" w:w="1701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Stof</w:t>
            </w:r>
          </w:p>
        </w:tc>
        <w:tc>
          <w:tcPr>
            <w:tcW w:type="dxa" w:w="1134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CAS-nr.</w:t>
            </w:r>
          </w:p>
        </w:tc>
        <w:tc>
          <w:tcPr>
            <w:tcW w:type="dxa" w:w="1417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GHS</w:t>
            </w:r>
          </w:p>
        </w:tc>
        <w:tc>
          <w:tcPr>
            <w:tcW w:type="dxa" w:w="1417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H-zinnen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PBM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Specifieke risico's</w:t>
            </w:r>
          </w:p>
        </w:tc>
      </w:tr>
      <w:tr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Vanadiumpentoxide (V₂O₅)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1314-62-1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Gevaar + Acuut giftig + Gevaar voor milieu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H330, H341, H361d, H372, H411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Adembescherming, handschoenen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Toxisch bij inademing, vermoedelijk carcinogeen, reprotoxisch</w:t>
            </w:r>
          </w:p>
        </w:tc>
      </w:tr>
      <w:tr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Zwavelzuur (H₂SO₄) 25-75%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7664-93-9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Corrosief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H314, H290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Zuurbestendige handschoenen, gezichtsbeschermer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Bijtend, ernstige brandwonden</w:t>
            </w:r>
          </w:p>
        </w:tc>
      </w:tr>
      <w:tr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Natriumhydroxide (NaOH) 50%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1310-73-2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Corrosief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H314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Basenbestendige handschoenen, gezichtsbeschermer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Bijtend, ernstige brandwonden</w:t>
            </w:r>
          </w:p>
        </w:tc>
      </w:tr>
      <w:tr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Aluminiumsulfaat Al₂(SO₄)₃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10043-01-3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—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H315, H319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Handschoenen, veiligheidsbril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Huid- en oogirritatie</w:t>
            </w:r>
          </w:p>
        </w:tc>
      </w:tr>
    </w:tbl>
    <w:p/>
    <w:p>
      <w:pPr>
        <w:pStyle w:val="Heading2"/>
      </w:pPr>
      <w:r>
        <w:rPr>
          <w:color w:val="003366"/>
        </w:rPr>
        <w:t>4B.4 Toets</w:t>
      </w:r>
    </w:p>
    <w:p>
      <w:r>
        <w:rPr>
          <w:rFonts w:ascii="Calibri" w:hAnsi="Calibri"/>
          <w:b w:val="0"/>
          <w:sz w:val="22"/>
        </w:rPr>
        <w:t>6 vragen, minimumscore 80% vereist. Praktijkonderdeel: SDS van V₂O₅ interpreteren en correcte PBM-selectie aantonen.</w:t>
      </w:r>
    </w:p>
    <w:p>
      <w:pPr>
        <w:pStyle w:val="Heading1"/>
      </w:pPr>
      <w:r>
        <w:rPr>
          <w:color w:val="003366"/>
        </w:rPr>
        <w:t>5. Training C: TRA-methode (2 uur) — TR-200-01C</w:t>
      </w:r>
    </w:p>
    <w:p>
      <w:pPr>
        <w:pStyle w:val="Heading2"/>
      </w:pPr>
      <w:r>
        <w:rPr>
          <w:color w:val="003366"/>
        </w:rPr>
        <w:t>5C.1 Leerdoelen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1. Begrijpen wat een TRA is en wanneer deze verplicht is [3]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2. Kunnen invullen van het TRA-formulier stap voor stap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3. Weten welke gevaren en risico's relevant zijn voor Phoenix Metals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4. Kunnen bepalen welke beheersmaatregelen nodig zijn</w:t>
      </w:r>
    </w:p>
    <w:p>
      <w:pPr>
        <w:pStyle w:val="Heading2"/>
      </w:pPr>
      <w:r>
        <w:rPr>
          <w:color w:val="003366"/>
        </w:rPr>
        <w:t>5C.2 Programma (120 min)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850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Tijd</w:t>
            </w:r>
          </w:p>
        </w:tc>
        <w:tc>
          <w:tcPr>
            <w:tcW w:type="dxa" w:w="3402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1134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Methode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00:00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Wat is TRA? Definitie, wettelijke basis, wanneer verplicht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00:15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TRA-formulier: stap voor stap uitleg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20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Presentatie + formulier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00:35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Gefarenidentificatie: checklist + Phoenix Metals specifiek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00:50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Praktijk 1: TRA uitvoeren voor standaardtaak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25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Groepswerk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01:15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Pauze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10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—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01:25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Risicobeoordeling: matrix (waarschijnlijkheid × effect)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10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01:35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Beheersmaatregelen: hiërarchie toepassen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10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01:45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Praktijk 2: TRA uitvoeren voor eigen werkplek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Groepswerk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02:00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Evaluatie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—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Beoordeling op praktijk</w:t>
            </w:r>
          </w:p>
        </w:tc>
      </w:tr>
    </w:tbl>
    <w:p/>
    <w:p>
      <w:pPr>
        <w:pStyle w:val="Heading2"/>
      </w:pPr>
      <w:r>
        <w:rPr>
          <w:color w:val="003366"/>
        </w:rPr>
        <w:t>5C.3 TRA-formulier Structuur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Sectie 1: Taakbeschrijving (wat, waar, wie, wanneer)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Sectie 2: Gefarenidentificatie (checkbox + vrije tekst)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Sectie 3: Risicobeoordeling (voor/na maatregelen, matrix 5×5)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Sectie 4: Beheersmaatregelen (hiërarchie: bron &gt; technisch &gt; organisatorisch &gt; PBM)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Sectie 5: Overblijvend risico + acceptatie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Sectie 6: Goedkeuring (uitvoerder + leidinggevende)</w:t>
      </w:r>
    </w:p>
    <w:p>
      <w:pPr>
        <w:pStyle w:val="Heading2"/>
      </w:pPr>
      <w:r>
        <w:rPr>
          <w:color w:val="003366"/>
        </w:rPr>
        <w:t>5C.4 Beoordeling</w:t>
      </w:r>
    </w:p>
    <w:p>
      <w:r>
        <w:rPr>
          <w:rFonts w:ascii="Calibri" w:hAnsi="Calibri"/>
          <w:b w:val="0"/>
          <w:sz w:val="22"/>
        </w:rPr>
        <w:t>Geen afzonderlijke schriftelijke toets. De beoordeling vindt plaats op basis van de kwaliteit van de twee praktijk-TRA's. Minimaal "voldoende" op beide TRA's is vereist om te slagen.</w:t>
      </w:r>
    </w:p>
    <w:p>
      <w:pPr>
        <w:pStyle w:val="Heading1"/>
      </w:pPr>
      <w:r>
        <w:rPr>
          <w:color w:val="003366"/>
        </w:rPr>
        <w:t>6. Training D: Lockout/Tagout — LOTO (3 uur) — TR-200-01D</w:t>
      </w:r>
    </w:p>
    <w:p>
      <w:pPr>
        <w:pStyle w:val="Heading2"/>
      </w:pPr>
      <w:r>
        <w:rPr>
          <w:color w:val="003366"/>
        </w:rPr>
        <w:t>6D.1 Leerdoelen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1. Begrijpen wat LOTO is en wanneer het verplicht is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2. Kunnen identificeren van energietypes (elektrisch, mechanisch, hydraulisch, pneumatisch, thermisch, chemisch)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3. De LOTO-procedure stap voor stap kunnen uitvoeren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4. Weten van de bevoegdheden: wie mag LOTO aanbrengen en verwijderen</w:t>
      </w:r>
    </w:p>
    <w:p>
      <w:pPr>
        <w:pStyle w:val="Heading2"/>
      </w:pPr>
      <w:r>
        <w:rPr>
          <w:color w:val="003366"/>
        </w:rPr>
        <w:t>6D.2 Programma (180 min)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850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Tijd</w:t>
            </w:r>
          </w:p>
        </w:tc>
        <w:tc>
          <w:tcPr>
            <w:tcW w:type="dxa" w:w="3402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Onderdeel</w:t>
            </w:r>
          </w:p>
        </w:tc>
        <w:tc>
          <w:tcPr>
            <w:tcW w:type="dxa" w:w="1134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Duur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Methode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00:00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Wat is LOTO? Definitie, wettelijke basis, wanneer verplicht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00:15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Energietypes: 6 types + voorbeelden Phoenix Metals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20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00:35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LOTO-procedure: 8 stappen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25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Presentatie + video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01:00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Pauze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10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—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01:10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LOTO-materiaal: sloten, tags, hasps, locks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Demonstratie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01:25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Praktijk 1: LOTO op eenvoudige installatie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30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Praktijk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01:55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Praktijk 2: LOTO op complexe installatie (multiple energy)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30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Praktijk</w:t>
            </w:r>
          </w:p>
        </w:tc>
      </w:tr>
      <w:tr>
        <w:tc>
          <w:tcPr>
            <w:tcW w:type="dxa" w:w="850"/>
            <w:shd w:fill="F0F4F8"/>
          </w:tcPr>
          <w:p>
            <w:r>
              <w:rPr>
                <w:rFonts w:ascii="Calibri" w:hAnsi="Calibri"/>
                <w:sz w:val="20"/>
              </w:rPr>
              <w:t>02:25</w:t>
            </w:r>
          </w:p>
        </w:tc>
        <w:tc>
          <w:tcPr>
            <w:tcW w:type="dxa" w:w="3402"/>
            <w:shd w:fill="F0F4F8"/>
          </w:tcPr>
          <w:p>
            <w:r>
              <w:rPr>
                <w:rFonts w:ascii="Calibri" w:hAnsi="Calibri"/>
                <w:sz w:val="20"/>
              </w:rPr>
              <w:t>Groeps-LOTO en overdracht</w:t>
            </w:r>
          </w:p>
        </w:tc>
        <w:tc>
          <w:tcPr>
            <w:tcW w:type="dxa" w:w="1134"/>
            <w:shd w:fill="F0F4F8"/>
          </w:tcPr>
          <w:p>
            <w:r>
              <w:rPr>
                <w:rFonts w:ascii="Calibri" w:hAnsi="Calibri"/>
                <w:sz w:val="20"/>
              </w:rPr>
              <w:t>15 min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Presentatie</w:t>
            </w:r>
          </w:p>
        </w:tc>
      </w:tr>
      <w:tr>
        <w:tc>
          <w:tcPr>
            <w:tcW w:type="dxa" w:w="850"/>
          </w:tcPr>
          <w:p>
            <w:r>
              <w:rPr>
                <w:rFonts w:ascii="Calibri" w:hAnsi="Calibri"/>
                <w:sz w:val="20"/>
              </w:rPr>
              <w:t>02:40</w:t>
            </w:r>
          </w:p>
        </w:tc>
        <w:tc>
          <w:tcPr>
            <w:tcW w:type="dxa" w:w="3402"/>
          </w:tcPr>
          <w:p>
            <w:r>
              <w:rPr>
                <w:rFonts w:ascii="Calibri" w:hAnsi="Calibri"/>
                <w:sz w:val="20"/>
              </w:rPr>
              <w:t>Toets + evaluatie</w:t>
            </w:r>
          </w:p>
        </w:tc>
        <w:tc>
          <w:tcPr>
            <w:tcW w:type="dxa" w:w="1134"/>
          </w:tcPr>
          <w:p>
            <w:r>
              <w:rPr>
                <w:rFonts w:ascii="Calibri" w:hAnsi="Calibri"/>
                <w:sz w:val="20"/>
              </w:rPr>
              <w:t>20 min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Schriftelijk + praktijk</w:t>
            </w:r>
          </w:p>
        </w:tc>
      </w:tr>
    </w:tbl>
    <w:p/>
    <w:p>
      <w:pPr>
        <w:pStyle w:val="Heading2"/>
      </w:pPr>
      <w:r>
        <w:rPr>
          <w:color w:val="003366"/>
        </w:rPr>
        <w:t>6D.3 LOTO-procedure — 8 Stappen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Stap 1: Voorbereiding: taak identificeren, energietypes inventariseren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Stap 2: Melding: betrokkenen informeren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Stap 3: Uitschakeling: apparatuur uitschakelen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Stap 4: Isolatie: energiebronnen isoleren (kleppen, schakelaars, brekers)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Stap 5: Vergrendeling: eigen slot aanbrengen (persoonlijk)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Stap 6: Tagging: naamkaartje met datum, naam en reden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Stap 7: Verificatie: nul-energie testen (try-start)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Stap 8: Uitvoering: werkzaamheden starten</w:t>
      </w:r>
    </w:p>
    <w:p>
      <w:pPr>
        <w:pStyle w:val="Heading2"/>
      </w:pPr>
      <w:r>
        <w:rPr>
          <w:color w:val="003366"/>
        </w:rPr>
        <w:t>6D.4 Praktijkoefeningen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Oefening 1: LOTO op elektrische pomp (1 energiebron)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Oefening 2: LOTO op smeltoven (elektrisch + thermisch + mechanisch)</w:t>
      </w:r>
    </w:p>
    <w:p>
      <w:r>
        <w:rPr>
          <w:rFonts w:ascii="Calibri" w:hAnsi="Calibri"/>
          <w:b w:val="0"/>
          <w:sz w:val="22"/>
        </w:rPr>
        <w:t>Beide oefeningen worden uitgevoerd op eigen Phoenix Metals installaties (indien beschikbaar).</w:t>
      </w:r>
    </w:p>
    <w:p>
      <w:pPr>
        <w:pStyle w:val="Heading2"/>
      </w:pPr>
      <w:r>
        <w:rPr>
          <w:color w:val="003366"/>
        </w:rPr>
        <w:t>6D.5 Toets</w:t>
      </w:r>
    </w:p>
    <w:p>
      <w:r>
        <w:rPr>
          <w:rFonts w:ascii="Calibri" w:hAnsi="Calibri"/>
          <w:b w:val="0"/>
          <w:sz w:val="22"/>
        </w:rPr>
        <w:t>6 theorievragen (80% vereist) + praktijkbeoordeling. De praktijktoets omvat het correct uitvoeren van de volledige LOTO-procedure op een testinstallatie.</w:t>
      </w:r>
    </w:p>
    <w:p>
      <w:pPr>
        <w:pStyle w:val="Heading1"/>
      </w:pPr>
      <w:r>
        <w:rPr>
          <w:color w:val="003366"/>
        </w:rPr>
        <w:t>7. Certificering en Registratie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Per training: certificaat bij voldoende resultaat (zie toetscriteria per training)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Geldigheid: conform Training Matrix (FM-310-01-01)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Resultaten vastgelegd in opleidingenmatrix (FM-310-01-01, Sheet 3)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Niet geslaagd: herkansing binnen 2 weken + extra begeleiding door HSE Manager</w:t>
      </w:r>
    </w:p>
    <w:p>
      <w:pPr>
        <w:pStyle w:val="Heading1"/>
      </w:pPr>
      <w:r>
        <w:rPr>
          <w:color w:val="003366"/>
        </w:rPr>
        <w:t>8. Gerelateerde Documenten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Nr</w:t>
            </w:r>
          </w:p>
        </w:tc>
        <w:tc>
          <w:tcPr>
            <w:tcW w:type="dxa" w:w="2835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1701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Code</w:t>
            </w:r>
          </w:p>
        </w:tc>
        <w:tc>
          <w:tcPr>
            <w:tcW w:type="dxa" w:w="2835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Relatie</w:t>
            </w:r>
          </w:p>
        </w:tc>
      </w:tr>
      <w:tr>
        <w:tc>
          <w:tcPr>
            <w:tcW w:type="dxa" w:w="567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PBZO Beleidsdocument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PS-230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Kaderstellend veiligheidsbeleid</w:t>
            </w:r>
          </w:p>
        </w:tc>
      </w:tr>
      <w:tr>
        <w:tc>
          <w:tcPr>
            <w:tcW w:type="dxa" w:w="567"/>
            <w:shd w:fill="F0F4F8"/>
          </w:tcPr>
          <w:p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Functieprofielen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PE-310-02</w:t>
            </w:r>
          </w:p>
        </w:tc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Trainingseisen per functie</w:t>
            </w:r>
          </w:p>
        </w:tc>
      </w:tr>
      <w:tr>
        <w:tc>
          <w:tcPr>
            <w:tcW w:type="dxa" w:w="567"/>
          </w:tcPr>
          <w:p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Organigram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PE-310-03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Verantwoordelijkheden en lijnorganisatie</w:t>
            </w:r>
          </w:p>
        </w:tc>
      </w:tr>
      <w:tr>
        <w:tc>
          <w:tcPr>
            <w:tcW w:type="dxa" w:w="567"/>
            <w:shd w:fill="F0F4F8"/>
          </w:tcPr>
          <w:p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Training Matrix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FM-310-01-01</w:t>
            </w:r>
          </w:p>
        </w:tc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Overzicht alle trainingen + geldigheid</w:t>
            </w:r>
          </w:p>
        </w:tc>
      </w:tr>
      <w:tr>
        <w:tc>
          <w:tcPr>
            <w:tcW w:type="dxa" w:w="567"/>
          </w:tcPr>
          <w:p>
            <w:r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Inwerkprogramma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PE-310-01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Planning onboarding Week 1-4</w:t>
            </w:r>
          </w:p>
        </w:tc>
      </w:tr>
      <w:tr>
        <w:tc>
          <w:tcPr>
            <w:tcW w:type="dxa" w:w="567"/>
            <w:shd w:fill="F0F4F8"/>
          </w:tcPr>
          <w:p>
            <w:r>
              <w:rPr>
                <w:rFonts w:ascii="Calibri" w:hAnsi="Calibri"/>
                <w:sz w:val="20"/>
              </w:rPr>
              <w:t>6</w:t>
            </w:r>
          </w:p>
        </w:tc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Toolbox Meeting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PE-290-01-10</w:t>
            </w:r>
          </w:p>
        </w:tc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Terugkoppeling praktijkincidenten</w:t>
            </w:r>
          </w:p>
        </w:tc>
      </w:tr>
      <w:tr>
        <w:tc>
          <w:tcPr>
            <w:tcW w:type="dxa" w:w="567"/>
          </w:tcPr>
          <w:p>
            <w:r>
              <w:rPr>
                <w:rFonts w:ascii="Calibri" w:hAnsi="Calibri"/>
                <w:sz w:val="20"/>
              </w:rPr>
              <w:t>7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Competentie Assessment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FM-310-02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Beoordeling competentieniveau</w:t>
            </w:r>
          </w:p>
        </w:tc>
      </w:tr>
      <w:tr>
        <w:tc>
          <w:tcPr>
            <w:tcW w:type="dxa" w:w="567"/>
            <w:shd w:fill="F0F4F8"/>
          </w:tcPr>
          <w:p>
            <w:r>
              <w:rPr>
                <w:rFonts w:ascii="Calibri" w:hAnsi="Calibri"/>
                <w:sz w:val="20"/>
              </w:rPr>
              <w:t>8</w:t>
            </w:r>
          </w:p>
        </w:tc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BASIS-training</w:t>
            </w:r>
          </w:p>
        </w:tc>
        <w:tc>
          <w:tcPr>
            <w:tcW w:type="dxa" w:w="1701"/>
            <w:shd w:fill="F0F4F8"/>
          </w:tcPr>
          <w:p>
            <w:r>
              <w:rPr>
                <w:rFonts w:ascii="Calibri" w:hAnsi="Calibri"/>
                <w:sz w:val="20"/>
              </w:rPr>
              <w:t>TR-100-01</w:t>
            </w:r>
          </w:p>
        </w:tc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Vereiste voortraining voor dit programma</w:t>
            </w:r>
          </w:p>
        </w:tc>
      </w:tr>
      <w:tr>
        <w:tc>
          <w:tcPr>
            <w:tcW w:type="dxa" w:w="567"/>
          </w:tcPr>
          <w:p>
            <w:r>
              <w:rPr>
                <w:rFonts w:ascii="Calibri" w:hAnsi="Calibri"/>
                <w:sz w:val="20"/>
              </w:rPr>
              <w:t>9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SPECIFIEKE-training Programma</w:t>
            </w:r>
          </w:p>
        </w:tc>
        <w:tc>
          <w:tcPr>
            <w:tcW w:type="dxa" w:w="1701"/>
          </w:tcPr>
          <w:p>
            <w:r>
              <w:rPr>
                <w:rFonts w:ascii="Calibri" w:hAnsi="Calibri"/>
                <w:sz w:val="20"/>
              </w:rPr>
              <w:t>TR-200-01</w:t>
            </w:r>
          </w:p>
        </w:tc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Dit document</w:t>
            </w:r>
          </w:p>
        </w:tc>
      </w:tr>
    </w:tbl>
    <w:p/>
    <w:p>
      <w:pPr>
        <w:pStyle w:val="Heading1"/>
      </w:pPr>
      <w:r>
        <w:rPr>
          <w:color w:val="003366"/>
        </w:rPr>
        <w:t>9. Bronverwijzingen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[1] Seveso III-richtlijn 2012/18/EU, Bijlage III — Informatieplichtingen en trainingseisen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[2] NTA 8620 — Veiligheidsmanagementsysteem voor Seveso-inrichtingen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[3] Arbowet, art. 3 (algemene zorgplicht) en art. 5 (informatie, instructie en toezicht)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[4] ATEX-richtlijn 2014/34/EU (apparatuur) en 1999/92/EC (werkplek)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[5] EN 14460:2006 — Explosiebeveiligingssystemen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[6] CLP-verordening (EG) 1272/2008 — Classificatie, labeling en verpakking van stoffen</w:t>
      </w:r>
    </w:p>
    <w:p>
      <w:pPr>
        <w:pStyle w:val="ListBullet"/>
        <w:ind w:left="720"/>
      </w:pPr>
      <w:r>
        <w:rPr>
          <w:rFonts w:ascii="Calibri" w:hAnsi="Calibri"/>
          <w:sz w:val="22"/>
        </w:rPr>
        <w:t>[7] ISO 45001:2018, Clausule 7.2 — Competentie</w:t>
      </w:r>
    </w:p>
    <w:p>
      <w:pPr>
        <w:pStyle w:val="Heading1"/>
      </w:pPr>
      <w:r>
        <w:rPr>
          <w:color w:val="003366"/>
        </w:rPr>
        <w:t>10. TierVerify Log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835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268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1417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1417"/>
            <w:shd w:fill="003366"/>
          </w:tcPr>
          <w:p>
            <w:pPr>
              <w:jc w:val="left"/>
            </w:pPr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</w:tr>
      <w:tr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Wettelijke basis Seveso III Bijlage III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EUR-Lex 2012/18/EU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  <w:tr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NTA 8620 trainingseisen</w:t>
            </w:r>
          </w:p>
        </w:tc>
        <w:tc>
          <w:tcPr>
            <w:tcW w:type="dxa" w:w="2268"/>
            <w:shd w:fill="F0F4F8"/>
          </w:tcPr>
          <w:p>
            <w:r>
              <w:rPr>
                <w:rFonts w:ascii="Calibri" w:hAnsi="Calibri"/>
                <w:sz w:val="20"/>
              </w:rPr>
              <w:t>NEN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  <w:tr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Arbowet art. 3, 5 — instructieplicht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Overheid.nl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  <w:tr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ATEX-richtlijnen 2014/34/EU, 1999/92/EC</w:t>
            </w:r>
          </w:p>
        </w:tc>
        <w:tc>
          <w:tcPr>
            <w:tcW w:type="dxa" w:w="2268"/>
            <w:shd w:fill="F0F4F8"/>
          </w:tcPr>
          <w:p>
            <w:r>
              <w:rPr>
                <w:rFonts w:ascii="Calibri" w:hAnsi="Calibri"/>
                <w:sz w:val="20"/>
              </w:rPr>
              <w:t>EUR-Lex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  <w:tr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CLP-verordening 1272/2008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EUR-Lex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  <w:tr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ISO 45001:2018 Clausule 7.2</w:t>
            </w:r>
          </w:p>
        </w:tc>
        <w:tc>
          <w:tcPr>
            <w:tcW w:type="dxa" w:w="2268"/>
            <w:shd w:fill="F0F4F8"/>
          </w:tcPr>
          <w:p>
            <w:r>
              <w:rPr>
                <w:rFonts w:ascii="Calibri" w:hAnsi="Calibri"/>
                <w:sz w:val="20"/>
              </w:rPr>
              <w:t>ISO.org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  <w:tr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V₂O₅ CAS 1314-62-1 H-zinnen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ECHA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  <w:tr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H₂SO₄ CAS 7664-93-9 H-zinnen</w:t>
            </w:r>
          </w:p>
        </w:tc>
        <w:tc>
          <w:tcPr>
            <w:tcW w:type="dxa" w:w="2268"/>
            <w:shd w:fill="F0F4F8"/>
          </w:tcPr>
          <w:p>
            <w:r>
              <w:rPr>
                <w:rFonts w:ascii="Calibri" w:hAnsi="Calibri"/>
                <w:sz w:val="20"/>
              </w:rPr>
              <w:t>ECHA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  <w:tr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NaOH CAS 1310-73-2 H-zinnen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ECHA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  <w:tr>
        <w:tc>
          <w:tcPr>
            <w:tcW w:type="dxa" w:w="2835"/>
            <w:shd w:fill="F0F4F8"/>
          </w:tcPr>
          <w:p>
            <w:r>
              <w:rPr>
                <w:rFonts w:ascii="Calibri" w:hAnsi="Calibri"/>
                <w:sz w:val="20"/>
              </w:rPr>
              <w:t>Inter-document koppelingen (9 docs)</w:t>
            </w:r>
          </w:p>
        </w:tc>
        <w:tc>
          <w:tcPr>
            <w:tcW w:type="dxa" w:w="2268"/>
            <w:shd w:fill="F0F4F8"/>
          </w:tcPr>
          <w:p>
            <w:r>
              <w:rPr>
                <w:rFonts w:ascii="Calibri" w:hAnsi="Calibri"/>
                <w:sz w:val="20"/>
              </w:rPr>
              <w:t>VBS-project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  <w:shd w:fill="F0F4F8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  <w:tr>
        <w:tc>
          <w:tcPr>
            <w:tcW w:type="dxa" w:w="2835"/>
          </w:tcPr>
          <w:p>
            <w:r>
              <w:rPr>
                <w:rFonts w:ascii="Calibri" w:hAnsi="Calibri"/>
                <w:sz w:val="20"/>
              </w:rPr>
              <w:t>Training Matrix FM-310-01-01 consistentie</w:t>
            </w:r>
          </w:p>
        </w:tc>
        <w:tc>
          <w:tcPr>
            <w:tcW w:type="dxa" w:w="2268"/>
          </w:tcPr>
          <w:p>
            <w:r>
              <w:rPr>
                <w:rFonts w:ascii="Calibri" w:hAnsi="Calibri"/>
                <w:sz w:val="20"/>
              </w:rPr>
              <w:t>Projectdeliverable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1417"/>
          </w:tcPr>
          <w:p>
            <w:r>
              <w:rPr>
                <w:rFonts w:ascii="Calibri" w:hAnsi="Calibri"/>
                <w:sz w:val="20"/>
              </w:rPr>
              <w:t>28-04-2026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3366"/>
        <w:sz w:val="16"/>
      </w:rPr>
      <w:t>JvG Consultancy | Safety • Governance • Advisory | © 2026</w:t>
    </w:r>
    <w:r>
      <w:rPr>
        <w:rFonts w:ascii="Calibri" w:hAnsi="Calibri"/>
        <w:color w:val="003366"/>
        <w:sz w:val="16"/>
      </w:rPr>
      <w:t xml:space="preserve">  |  Pagina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color w:val="003366"/>
        <w:sz w:val="16"/>
      </w:rPr>
      <w:t>SPECIFIEKE-TRAINING PROGRAMMA  |  TR-200-01  |  Phoenix Metals</w:t>
    </w:r>
    <w:r>
      <w:drawing>
        <wp:inline xmlns:a="http://schemas.openxmlformats.org/drawingml/2006/main" xmlns:pic="http://schemas.openxmlformats.org/drawingml/2006/picture">
          <wp:extent cx="720000" cy="646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6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