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tbl>
      <w:tblPr>
        <w:tblStyle w:val="TableGrid"/>
        <w:tblW w:type="auto" w:w="0"/>
        <w:jc w:val="left"/>
        <w:tblLook w:firstColumn="1" w:firstRow="1" w:lastColumn="0" w:lastRow="0" w:noHBand="0" w:noVBand="1" w:val="04A0"/>
      </w:tblPr>
      <w:tblGrid>
        <w:gridCol w:w="4703"/>
        <w:gridCol w:w="4703"/>
      </w:tblGrid>
      <w:tr>
        <w:tc>
          <w:tcPr>
            <w:tcW w:type="dxa" w:w="4703"/>
            <w:shd w:fill="003366"/>
          </w:tcPr>
          <w:p>
            <w:pPr/>
            <w:r>
              <w:rPr>
                <w:rFonts w:ascii="Calibri" w:hAnsi="Calibri"/>
                <w:b/>
                <w:color w:val="FFFFFF"/>
                <w:sz w:val="20"/>
              </w:rPr>
              <w:t>Project</w:t>
            </w:r>
          </w:p>
        </w:tc>
        <w:tc>
          <w:tcPr>
            <w:tcW w:type="dxa" w:w="4703"/>
          </w:tcPr>
          <w:p>
            <w:pPr/>
            <w:r>
              <w:rPr>
                <w:rFonts w:ascii="Calibri" w:hAnsi="Calibri"/>
                <w:sz w:val="20"/>
              </w:rPr>
              <w:t>2026-PM-VBS-Element1</w:t>
            </w:r>
          </w:p>
        </w:tc>
      </w:tr>
      <w:tr>
        <w:tc>
          <w:tcPr>
            <w:tcW w:type="dxa" w:w="4703"/>
            <w:shd w:fill="003366"/>
          </w:tcPr>
          <w:p>
            <w:pPr/>
            <w:r>
              <w:rPr>
                <w:rFonts w:ascii="Calibri" w:hAnsi="Calibri"/>
                <w:b/>
                <w:color w:val="FFFFFF"/>
                <w:sz w:val="20"/>
              </w:rPr>
              <w:t>Type</w:t>
            </w:r>
          </w:p>
        </w:tc>
        <w:tc>
          <w:tcPr>
            <w:tcW w:type="dxa" w:w="4703"/>
          </w:tcPr>
          <w:p>
            <w:pPr/>
            <w:r>
              <w:rPr>
                <w:rFonts w:ascii="Calibri" w:hAnsi="Calibri"/>
                <w:sz w:val="20"/>
              </w:rPr>
              <w:t>Procedure</w:t>
            </w:r>
          </w:p>
        </w:tc>
      </w:tr>
      <w:tr>
        <w:tc>
          <w:tcPr>
            <w:tcW w:type="dxa" w:w="4703"/>
            <w:shd w:fill="003366"/>
          </w:tcPr>
          <w:p>
            <w:pPr/>
            <w:r>
              <w:rPr>
                <w:rFonts w:ascii="Calibri" w:hAnsi="Calibri"/>
                <w:b/>
                <w:color w:val="FFFFFF"/>
                <w:sz w:val="20"/>
              </w:rPr>
              <w:t>Auteur</w:t>
            </w:r>
          </w:p>
        </w:tc>
        <w:tc>
          <w:tcPr>
            <w:tcW w:type="dxa" w:w="4703"/>
          </w:tcPr>
          <w:p>
            <w:pPr/>
            <w:r>
              <w:rPr>
                <w:rFonts w:ascii="Calibri" w:hAnsi="Calibri"/>
                <w:sz w:val="20"/>
              </w:rPr>
              <w:t>python-docx</w:t>
            </w:r>
          </w:p>
        </w:tc>
      </w:tr>
      <w:tr>
        <w:tc>
          <w:tcPr>
            <w:tcW w:type="dxa" w:w="4703"/>
            <w:shd w:fill="003366"/>
          </w:tcPr>
          <w:p>
            <w:pPr/>
            <w:r>
              <w:rPr>
                <w:rFonts w:ascii="Calibri" w:hAnsi="Calibri"/>
                <w:b/>
                <w:color w:val="FFFFFF"/>
                <w:sz w:val="20"/>
              </w:rPr>
              <w:t>Versie</w:t>
            </w:r>
          </w:p>
        </w:tc>
        <w:tc>
          <w:tcPr>
            <w:tcW w:type="dxa" w:w="4703"/>
          </w:tcPr>
          <w:p>
            <w:pPr/>
            <w:r>
              <w:rPr>
                <w:rFonts w:ascii="Calibri" w:hAnsi="Calibri"/>
                <w:sz w:val="20"/>
              </w:rPr>
              <w:t>1.1</w:t>
            </w:r>
          </w:p>
        </w:tc>
      </w:tr>
      <w:tr>
        <w:tc>
          <w:tcPr>
            <w:tcW w:type="dxa" w:w="4703"/>
            <w:shd w:fill="003366"/>
          </w:tcPr>
          <w:p>
            <w:pPr/>
            <w:r>
              <w:rPr>
                <w:rFonts w:ascii="Calibri" w:hAnsi="Calibri"/>
                <w:b/>
                <w:color w:val="FFFFFF"/>
                <w:sz w:val="20"/>
              </w:rPr>
              <w:t>Datum</w:t>
            </w:r>
          </w:p>
        </w:tc>
        <w:tc>
          <w:tcPr>
            <w:tcW w:type="dxa" w:w="4703"/>
          </w:tcPr>
          <w:p>
            <w:pPr/>
            <w:r>
              <w:rPr>
                <w:rFonts w:ascii="Calibri" w:hAnsi="Calibri"/>
                <w:sz w:val="20"/>
              </w:rPr>
              <w:t>2013-12-23</w:t>
            </w:r>
          </w:p>
        </w:tc>
      </w:tr>
      <w:tr>
        <w:tc>
          <w:tcPr>
            <w:tcW w:type="dxa" w:w="4703"/>
            <w:shd w:fill="003366"/>
          </w:tcPr>
          <w:p>
            <w:pPr/>
            <w:r>
              <w:rPr>
                <w:rFonts w:ascii="Calibri" w:hAnsi="Calibri"/>
                <w:b/>
                <w:color w:val="FFFFFF"/>
                <w:sz w:val="20"/>
              </w:rPr>
              <w:t>Status</w:t>
            </w:r>
          </w:p>
        </w:tc>
        <w:tc>
          <w:tcPr>
            <w:tcW w:type="dxa" w:w="4703"/>
          </w:tcPr>
          <w:p>
            <w:pPr/>
            <w:r>
              <w:rPr>
                <w:rFonts w:ascii="Calibri" w:hAnsi="Calibri"/>
                <w:sz w:val="20"/>
              </w:rPr>
              <w:t>Final</w:t>
            </w:r>
          </w:p>
        </w:tc>
      </w:tr>
    </w:tbl>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6000"/>
                    </a:xfrm>
                    <a:prstGeom prst="rect"/>
                  </pic:spPr>
                </pic:pic>
              </a:graphicData>
            </a:graphic>
          </wp:inline>
        </w:drawing>
      </w:r>
    </w:p>
    <w:p/>
    <w:p>
      <w:pPr>
        <w:jc w:val="center"/>
      </w:pPr>
      <w:r>
        <w:rPr>
          <w:b/>
          <w:color w:val="003366"/>
          <w:sz w:val="48"/>
        </w:rPr>
        <w:t>TOOLBOX MEETING PROCEDURE</w:t>
      </w:r>
    </w:p>
    <w:p>
      <w:pPr>
        <w:jc w:val="center"/>
      </w:pPr>
      <w:r>
        <w:rPr>
          <w:color w:val="003366"/>
          <w:sz w:val="28"/>
        </w:rPr>
        <w:t>Phoenix Metals B.V. — VBS Element 1: Organisatie en Personeel</w:t>
      </w:r>
    </w:p>
    <w:p/>
    <w:tbl>
      <w:tblPr>
        <w:tblStyle w:val="TableGrid"/>
        <w:tblW w:type="auto" w:w="0"/>
        <w:jc w:val="center"/>
        <w:tblLook w:firstColumn="1" w:firstRow="1" w:lastColumn="0" w:lastRow="0" w:noHBand="0" w:noVBand="1" w:val="04A0"/>
      </w:tblPr>
      <w:tblGrid>
        <w:gridCol w:w="4703"/>
        <w:gridCol w:w="4703"/>
      </w:tblGrid>
      <w:tr>
        <w:tc>
          <w:tcPr>
            <w:tcW w:type="dxa" w:w="2835"/>
            <w:shd w:fill="E5E7EB" w:val="clear"/>
          </w:tcPr>
          <w:p>
            <w:r>
              <w:rPr>
                <w:b/>
                <w:sz w:val="22"/>
              </w:rPr>
              <w:t>Documentcode</w:t>
            </w:r>
          </w:p>
        </w:tc>
        <w:tc>
          <w:tcPr>
            <w:tcW w:type="dxa" w:w="4535"/>
          </w:tcPr>
          <w:p>
            <w:r>
              <w:rPr>
                <w:sz w:val="22"/>
              </w:rPr>
              <w:t>PE-290-01-10</w:t>
            </w:r>
          </w:p>
        </w:tc>
      </w:tr>
      <w:tr>
        <w:tc>
          <w:tcPr>
            <w:tcW w:type="dxa" w:w="2835"/>
            <w:shd w:fill="E5E7EB" w:val="clear"/>
          </w:tcPr>
          <w:p>
            <w:r>
              <w:rPr>
                <w:b/>
                <w:sz w:val="22"/>
              </w:rPr>
              <w:t>Versie</w:t>
            </w:r>
          </w:p>
        </w:tc>
        <w:tc>
          <w:tcPr>
            <w:tcW w:type="dxa" w:w="4535"/>
          </w:tcPr>
          <w:p>
            <w:r>
              <w:rPr>
                <w:sz w:val="22"/>
              </w:rPr>
              <w:t>1.0</w:t>
            </w:r>
          </w:p>
        </w:tc>
      </w:tr>
      <w:tr>
        <w:tc>
          <w:tcPr>
            <w:tcW w:type="dxa" w:w="2835"/>
            <w:shd w:fill="E5E7EB" w:val="clear"/>
          </w:tcPr>
          <w:p>
            <w:r>
              <w:rPr>
                <w:b/>
                <w:sz w:val="22"/>
              </w:rPr>
              <w:t>Datum</w:t>
            </w:r>
          </w:p>
        </w:tc>
        <w:tc>
          <w:tcPr>
            <w:tcW w:type="dxa" w:w="4535"/>
          </w:tcPr>
          <w:p>
            <w:r>
              <w:rPr>
                <w:sz w:val="22"/>
              </w:rPr>
              <w:t>28 april 2026</w:t>
            </w:r>
          </w:p>
        </w:tc>
      </w:tr>
      <w:tr>
        <w:tc>
          <w:tcPr>
            <w:tcW w:type="dxa" w:w="2835"/>
            <w:shd w:fill="E5E7EB" w:val="clear"/>
          </w:tcPr>
          <w:p>
            <w:r>
              <w:rPr>
                <w:b/>
                <w:sz w:val="22"/>
              </w:rPr>
              <w:t>Auteur</w:t>
            </w:r>
          </w:p>
        </w:tc>
        <w:tc>
          <w:tcPr>
            <w:tcW w:type="dxa" w:w="4535"/>
          </w:tcPr>
          <w:p>
            <w:r>
              <w:rPr>
                <w:sz w:val="22"/>
              </w:rPr>
              <w:t>JvG Consultancy</w:t>
            </w:r>
          </w:p>
        </w:tc>
      </w:tr>
      <w:tr>
        <w:tc>
          <w:tcPr>
            <w:tcW w:type="dxa" w:w="2835"/>
            <w:shd w:fill="E5E7EB" w:val="clear"/>
          </w:tcPr>
          <w:p>
            <w:r>
              <w:rPr>
                <w:b/>
                <w:sz w:val="22"/>
              </w:rPr>
              <w:t>Goedkeuring</w:t>
            </w:r>
          </w:p>
        </w:tc>
        <w:tc>
          <w:tcPr>
            <w:tcW w:type="dxa" w:w="4535"/>
          </w:tcPr>
          <w:p>
            <w:r>
              <w:rPr>
                <w:sz w:val="22"/>
              </w:rPr>
              <w:t>Stijn van Zelst, Managing Director</w:t>
            </w:r>
          </w:p>
        </w:tc>
      </w:tr>
      <w:tr>
        <w:tc>
          <w:tcPr>
            <w:tcW w:type="dxa" w:w="2835"/>
            <w:shd w:fill="E5E7EB" w:val="clear"/>
          </w:tcPr>
          <w:p>
            <w:r>
              <w:rPr>
                <w:b/>
                <w:sz w:val="22"/>
              </w:rPr>
              <w:t>Status</w:t>
            </w:r>
          </w:p>
        </w:tc>
        <w:tc>
          <w:tcPr>
            <w:tcW w:type="dxa" w:w="4535"/>
          </w:tcPr>
          <w:p>
            <w:r>
              <w:rPr>
                <w:sz w:val="22"/>
              </w:rPr>
              <w:t>Definitief</w:t>
            </w:r>
          </w:p>
        </w:tc>
      </w:tr>
    </w:tbl>
    <w:p>
      <w:r>
        <w:br w:type="page"/>
      </w:r>
    </w:p>
    <w:p>
      <w:pPr>
        <w:pStyle w:val="Heading1"/>
      </w:pPr>
      <w:r>
        <w:rPr>
          <w:color w:val="003366"/>
        </w:rPr>
        <w:t>Inhoudsopgave</w:t>
      </w:r>
    </w:p>
    <w:p>
      <w:pPr>
        <w:spacing w:after="40"/>
      </w:pPr>
      <w:r>
        <w:t>1. Doel en Toepassingsgebied</w:t>
      </w:r>
    </w:p>
    <w:p>
      <w:pPr>
        <w:spacing w:after="40"/>
      </w:pPr>
      <w:r>
        <w:t>2. Verantwoordelijkheden</w:t>
      </w:r>
    </w:p>
    <w:p>
      <w:pPr>
        <w:spacing w:after="40"/>
      </w:pPr>
      <w:r>
        <w:t>3. Frequentie en Planning</w:t>
      </w:r>
    </w:p>
    <w:p>
      <w:pPr>
        <w:spacing w:after="40"/>
      </w:pPr>
      <w:r>
        <w:t>4. Onderwerplijst (Keuzemenu)</w:t>
      </w:r>
    </w:p>
    <w:p>
      <w:pPr>
        <w:spacing w:after="40"/>
      </w:pPr>
      <w:r>
        <w:t>5. Voorbereiding door Voorman</w:t>
      </w:r>
    </w:p>
    <w:p>
      <w:pPr>
        <w:spacing w:after="40"/>
      </w:pPr>
      <w:r>
        <w:t>6. Uitvoering — Stap voor Stap</w:t>
      </w:r>
    </w:p>
    <w:p>
      <w:pPr>
        <w:spacing w:after="40"/>
      </w:pPr>
      <w:r>
        <w:t>7. Documentatie en Archivering</w:t>
      </w:r>
    </w:p>
    <w:p>
      <w:pPr>
        <w:spacing w:after="40"/>
      </w:pPr>
      <w:r>
        <w:t>8. Template — Invulformulier Toolbox Meeting</w:t>
      </w:r>
    </w:p>
    <w:p>
      <w:pPr>
        <w:spacing w:after="40"/>
      </w:pPr>
      <w:r>
        <w:t>9. Voorbeeld — Ingevulde Toolbox Meeting</w:t>
      </w:r>
    </w:p>
    <w:p>
      <w:pPr>
        <w:spacing w:after="40"/>
      </w:pPr>
      <w:r>
        <w:t>10. Kwaliteitscontrole</w:t>
      </w:r>
    </w:p>
    <w:p>
      <w:pPr>
        <w:spacing w:after="40"/>
      </w:pPr>
      <w:r>
        <w:t>11. Gerelateerde Documenten</w:t>
      </w:r>
    </w:p>
    <w:p>
      <w:pPr>
        <w:spacing w:after="40"/>
      </w:pPr>
      <w:r>
        <w:t>12. Bronverwijzingen</w:t>
      </w:r>
    </w:p>
    <w:p>
      <w:pPr>
        <w:spacing w:after="40"/>
      </w:pPr>
      <w:r>
        <w:t>13. TierVerify Log</w:t>
      </w:r>
    </w:p>
    <w:p>
      <w:r>
        <w:br w:type="page"/>
      </w:r>
    </w:p>
    <w:p>
      <w:pPr>
        <w:pStyle w:val="Heading1"/>
      </w:pPr>
      <w:r>
        <w:rPr>
          <w:color w:val="003366"/>
        </w:rPr>
        <w:t>1. Doel en Toepassingsgebied</w:t>
      </w:r>
    </w:p>
    <w:p>
      <w:pPr>
        <w:pStyle w:val="Heading2"/>
      </w:pPr>
      <w:r>
        <w:rPr>
          <w:color w:val="003366"/>
        </w:rPr>
        <w:t>1.1 Doel</w:t>
      </w:r>
    </w:p>
    <w:p>
      <w:r>
        <w:t>Deze procedure definieert de structuur, frequentie en verantwoordelijkheden voor wekelijkse toolbox meetings bij Phoenix Metals B.V. Het doel is structurele veiligheidscommunicatie tussen leidinggevenden en de werkvloer te waarborgen, conform Bijlage III van de Seveso III-richtlijn [1] en NTA 8620 [2].</w:t>
      </w:r>
    </w:p>
    <w:p>
      <w:pPr>
        <w:pStyle w:val="Heading2"/>
      </w:pPr>
      <w:r>
        <w:rPr>
          <w:color w:val="003366"/>
        </w:rPr>
        <w:t>1.2 Toepassingsgebied</w:t>
      </w:r>
    </w:p>
    <w:p>
      <w:r>
        <w:t>Deze procedure is van toepassing op alle operationele ploegen (productie, onderhoud, laboratorium) en kantoorploegen binnen Phoenix Metals B.V.</w:t>
      </w:r>
    </w:p>
    <w:p>
      <w:pPr>
        <w:pStyle w:val="Heading2"/>
      </w:pPr>
      <w:r>
        <w:rPr>
          <w:color w:val="003366"/>
        </w:rPr>
        <w:t>1.3 Wettelijke basis</w:t>
      </w:r>
    </w:p>
    <w:p>
      <w:pPr>
        <w:pStyle w:val="ListBullet"/>
      </w:pPr>
      <w:r>
        <w:t>Seveso III-richtlijn 2012/18/EU, Bijlage III — betrokkenheid werknemers [1]</w:t>
      </w:r>
    </w:p>
    <w:p>
      <w:pPr>
        <w:pStyle w:val="ListBullet"/>
      </w:pPr>
      <w:r>
        <w:t>NTA 8620 — Veiligheidsbrancheafspraak voor Seveso-inrichtingen [2]</w:t>
      </w:r>
    </w:p>
    <w:p>
      <w:pPr>
        <w:pStyle w:val="ListBullet"/>
      </w:pPr>
      <w:r>
        <w:t>Arbowet artikel 3 (algemene plicht werkgever) en artikel 5 (informatie, instructie, toezicht) [3]</w:t>
      </w:r>
    </w:p>
    <w:p>
      <w:pPr>
        <w:pStyle w:val="ListBullet"/>
      </w:pPr>
      <w:r>
        <w:t>ISO 45001:2018, Clausule 7.3 (Awareness) en 7.4 (Communication) [4]</w:t>
      </w:r>
    </w:p>
    <w:p/>
    <w:p>
      <w:r>
        <w:rPr>
          <w:b/>
        </w:rPr>
        <w:t xml:space="preserve">Opmerking: </w:t>
      </w:r>
      <w:r>
        <w:t>Deze procedure is onderdeel van VBS Element 1 "Organisatie en Personeel" (zie PS-230, §5).</w:t>
      </w:r>
    </w:p>
    <w:p>
      <w:pPr>
        <w:pStyle w:val="Heading1"/>
      </w:pPr>
      <w:r>
        <w:rPr>
          <w:color w:val="003366"/>
        </w:rPr>
        <w:t>2. Verantwoordelijkheden</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Rol</w:t>
            </w:r>
          </w:p>
        </w:tc>
        <w:tc>
          <w:tcPr>
            <w:tcW w:type="dxa" w:w="6803"/>
            <w:shd w:fill="003366" w:val="clear"/>
          </w:tcPr>
          <w:p>
            <w:pPr>
              <w:jc w:val="center"/>
            </w:pPr>
            <w:r>
              <w:rPr>
                <w:b/>
                <w:color w:val="FFFFFF"/>
                <w:sz w:val="20"/>
              </w:rPr>
              <w:t>Verantwoordelijkheden</w:t>
            </w:r>
          </w:p>
        </w:tc>
      </w:tr>
      <w:tr>
        <w:tc>
          <w:tcPr>
            <w:tcW w:type="dxa" w:w="2835"/>
          </w:tcPr>
          <w:p>
            <w:r>
              <w:rPr>
                <w:sz w:val="20"/>
              </w:rPr>
              <w:t>HSE Manager</w:t>
            </w:r>
          </w:p>
        </w:tc>
        <w:tc>
          <w:tcPr>
            <w:tcW w:type="dxa" w:w="6803"/>
          </w:tcPr>
          <w:p>
            <w:r>
              <w:rPr>
                <w:sz w:val="20"/>
              </w:rPr>
              <w:t>Opstellen jaarplanning toolbox-onderwerpen; maandelijkse steekproef kwaliteit; jaarlijkse evaluatie in Management Review (zie PS-230, §8)</w:t>
            </w:r>
          </w:p>
        </w:tc>
      </w:tr>
      <w:tr>
        <w:tc>
          <w:tcPr>
            <w:tcW w:type="dxa" w:w="2835"/>
          </w:tcPr>
          <w:p>
            <w:r>
              <w:rPr>
                <w:sz w:val="20"/>
              </w:rPr>
              <w:t>Lijnmanager / Voorman</w:t>
            </w:r>
          </w:p>
        </w:tc>
        <w:tc>
          <w:tcPr>
            <w:tcW w:type="dxa" w:w="6803"/>
          </w:tcPr>
          <w:p>
            <w:r>
              <w:rPr>
                <w:sz w:val="20"/>
              </w:rPr>
              <w:t>Voorzitten toolbox; documenteren (aanwezigen, kernboodschappen, acties); opvolgen acties binnen afgesproken termijn</w:t>
            </w:r>
          </w:p>
        </w:tc>
      </w:tr>
      <w:tr>
        <w:tc>
          <w:tcPr>
            <w:tcW w:type="dxa" w:w="2835"/>
          </w:tcPr>
          <w:p>
            <w:r>
              <w:rPr>
                <w:sz w:val="20"/>
              </w:rPr>
              <w:t>Operatoren</w:t>
            </w:r>
          </w:p>
        </w:tc>
        <w:tc>
          <w:tcPr>
            <w:tcW w:type="dxa" w:w="6803"/>
          </w:tcPr>
          <w:p>
            <w:r>
              <w:rPr>
                <w:sz w:val="20"/>
              </w:rPr>
              <w:t>Actief deelnemen; inbrengen eigen observaties, near-misses en onveilige situaties; uitvoeren toegewezen acties</w:t>
            </w:r>
          </w:p>
        </w:tc>
      </w:tr>
      <w:tr>
        <w:tc>
          <w:tcPr>
            <w:tcW w:type="dxa" w:w="2835"/>
          </w:tcPr>
          <w:p>
            <w:r>
              <w:rPr>
                <w:sz w:val="20"/>
              </w:rPr>
              <w:t>Managing Director</w:t>
            </w:r>
          </w:p>
        </w:tc>
        <w:tc>
          <w:tcPr>
            <w:tcW w:type="dxa" w:w="6803"/>
          </w:tcPr>
          <w:p>
            <w:r>
              <w:rPr>
                <w:sz w:val="20"/>
              </w:rPr>
              <w:t>Goedkeuring jaarplanning; beschikbaarheid middelen; eindverantwoordelijkheid communicatiebeleid</w:t>
            </w:r>
          </w:p>
        </w:tc>
      </w:tr>
    </w:tbl>
    <w:p/>
    <w:p>
      <w:r>
        <w:t>Zie ook de functieprofielen voor gedetailleerde taakomschrijvingen (zie PE-310-02).</w:t>
      </w:r>
    </w:p>
    <w:p>
      <w:pPr>
        <w:pStyle w:val="Heading1"/>
      </w:pPr>
      <w:r>
        <w:rPr>
          <w:color w:val="003366"/>
        </w:rPr>
        <w:t>3. Frequentie en Planning</w:t>
      </w:r>
    </w:p>
    <w:p>
      <w:pPr>
        <w:pStyle w:val="Heading2"/>
      </w:pPr>
      <w:r>
        <w:rPr>
          <w:color w:val="003366"/>
        </w:rPr>
        <w:t>3.1 Standaardfrequentie</w:t>
      </w:r>
    </w:p>
    <w:p>
      <w:r>
        <w:t>Minimaal éénmaal per week per ploeg, bij voorkeur aan het begin van de dienst (vaste dag/tijd per ploegrooster).</w:t>
      </w:r>
    </w:p>
    <w:p>
      <w:pPr>
        <w:pStyle w:val="Heading2"/>
      </w:pPr>
      <w:r>
        <w:rPr>
          <w:color w:val="003366"/>
        </w:rPr>
        <w:t>3.2 Extra toolbox meetings</w:t>
      </w:r>
    </w:p>
    <w:p>
      <w:pPr>
        <w:pStyle w:val="ListBullet"/>
      </w:pPr>
      <w:r>
        <w:t>Na een incident of near-miss (binnen 24 uur)</w:t>
      </w:r>
    </w:p>
    <w:p>
      <w:pPr>
        <w:pStyle w:val="ListBullet"/>
      </w:pPr>
      <w:r>
        <w:t>Bij introductie nieuwe procedures of werkmethoden</w:t>
      </w:r>
    </w:p>
    <w:p>
      <w:pPr>
        <w:pStyle w:val="ListBullet"/>
      </w:pPr>
      <w:r>
        <w:t>Bij seizoensgebonden risico's (zie §3.3)</w:t>
      </w:r>
    </w:p>
    <w:p>
      <w:pPr>
        <w:pStyle w:val="ListBullet"/>
      </w:pPr>
      <w:r>
        <w:t>Bij inwerken nieuwe medewerkers (zie PE-310-01)</w:t>
      </w:r>
    </w:p>
    <w:p>
      <w:pPr>
        <w:pStyle w:val="Heading2"/>
      </w:pPr>
      <w:r>
        <w:rPr>
          <w:color w:val="003366"/>
        </w:rPr>
        <w:t>3.3 Jaarplanning — Thematische onderwerpen per maand</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Pr>
                <w:b/>
                <w:color w:val="FFFFFF"/>
                <w:sz w:val="20"/>
              </w:rPr>
              <w:t>Maand</w:t>
            </w:r>
          </w:p>
        </w:tc>
        <w:tc>
          <w:tcPr>
            <w:tcW w:type="dxa" w:w="7370"/>
            <w:shd w:fill="003366" w:val="clear"/>
          </w:tcPr>
          <w:p>
            <w:pPr>
              <w:jc w:val="center"/>
            </w:pPr>
            <w:r>
              <w:rPr>
                <w:b/>
                <w:color w:val="FFFFFF"/>
                <w:sz w:val="20"/>
              </w:rPr>
              <w:t>Thema</w:t>
            </w:r>
          </w:p>
        </w:tc>
      </w:tr>
      <w:tr>
        <w:tc>
          <w:tcPr>
            <w:tcW w:type="dxa" w:w="2268"/>
          </w:tcPr>
          <w:p>
            <w:r>
              <w:rPr>
                <w:sz w:val="20"/>
              </w:rPr>
              <w:t>Januari</w:t>
            </w:r>
          </w:p>
        </w:tc>
        <w:tc>
          <w:tcPr>
            <w:tcW w:type="dxa" w:w="7370"/>
          </w:tcPr>
          <w:p>
            <w:r>
              <w:rPr>
                <w:sz w:val="20"/>
              </w:rPr>
              <w:t>Nieuwjaar — jaaroverzicht veiligheidscijfers, doelen nieuw jaar</w:t>
            </w:r>
          </w:p>
        </w:tc>
      </w:tr>
      <w:tr>
        <w:tc>
          <w:tcPr>
            <w:tcW w:type="dxa" w:w="2268"/>
          </w:tcPr>
          <w:p>
            <w:r>
              <w:rPr>
                <w:sz w:val="20"/>
              </w:rPr>
              <w:t>Februari</w:t>
            </w:r>
          </w:p>
        </w:tc>
        <w:tc>
          <w:tcPr>
            <w:tcW w:type="dxa" w:w="7370"/>
          </w:tcPr>
          <w:p>
            <w:r>
              <w:rPr>
                <w:sz w:val="20"/>
              </w:rPr>
              <w:t>Orde &amp; netheid — 5S-methode, werkplekinrichting</w:t>
            </w:r>
          </w:p>
        </w:tc>
      </w:tr>
      <w:tr>
        <w:tc>
          <w:tcPr>
            <w:tcW w:type="dxa" w:w="2268"/>
          </w:tcPr>
          <w:p>
            <w:r>
              <w:rPr>
                <w:sz w:val="20"/>
              </w:rPr>
              <w:t>Maart</w:t>
            </w:r>
          </w:p>
        </w:tc>
        <w:tc>
          <w:tcPr>
            <w:tcW w:type="dxa" w:w="7370"/>
          </w:tcPr>
          <w:p>
            <w:r>
              <w:rPr>
                <w:sz w:val="20"/>
              </w:rPr>
              <w:t>Gevaarlijke stoffen — V₂O₅, H₂SO₄, SDS-interpretatie, REACH/CLP [5]</w:t>
            </w:r>
          </w:p>
        </w:tc>
      </w:tr>
      <w:tr>
        <w:tc>
          <w:tcPr>
            <w:tcW w:type="dxa" w:w="2268"/>
          </w:tcPr>
          <w:p>
            <w:r>
              <w:rPr>
                <w:sz w:val="20"/>
              </w:rPr>
              <w:t>April</w:t>
            </w:r>
          </w:p>
        </w:tc>
        <w:tc>
          <w:tcPr>
            <w:tcW w:type="dxa" w:w="7370"/>
          </w:tcPr>
          <w:p>
            <w:r>
              <w:rPr>
                <w:sz w:val="20"/>
              </w:rPr>
              <w:t>Werken op hoogte — valbeveiliging, laddergebruik, steigers</w:t>
            </w:r>
          </w:p>
        </w:tc>
      </w:tr>
      <w:tr>
        <w:tc>
          <w:tcPr>
            <w:tcW w:type="dxa" w:w="2268"/>
          </w:tcPr>
          <w:p>
            <w:r>
              <w:rPr>
                <w:sz w:val="20"/>
              </w:rPr>
              <w:t>Mei</w:t>
            </w:r>
          </w:p>
        </w:tc>
        <w:tc>
          <w:tcPr>
            <w:tcW w:type="dxa" w:w="7370"/>
          </w:tcPr>
          <w:p>
            <w:r>
              <w:rPr>
                <w:sz w:val="20"/>
              </w:rPr>
              <w:t>LOTO — vergrendelingsprocedures, energieklassen</w:t>
            </w:r>
          </w:p>
        </w:tc>
      </w:tr>
      <w:tr>
        <w:tc>
          <w:tcPr>
            <w:tcW w:type="dxa" w:w="2268"/>
          </w:tcPr>
          <w:p>
            <w:r>
              <w:rPr>
                <w:sz w:val="20"/>
              </w:rPr>
              <w:t>Juni</w:t>
            </w:r>
          </w:p>
        </w:tc>
        <w:tc>
          <w:tcPr>
            <w:tcW w:type="dxa" w:w="7370"/>
          </w:tcPr>
          <w:p>
            <w:r>
              <w:rPr>
                <w:sz w:val="20"/>
              </w:rPr>
              <w:t>Hitte &amp; UV — hittegerelateerde klachten, UV-bescherming, hydratatie</w:t>
            </w:r>
          </w:p>
        </w:tc>
      </w:tr>
      <w:tr>
        <w:tc>
          <w:tcPr>
            <w:tcW w:type="dxa" w:w="2268"/>
          </w:tcPr>
          <w:p>
            <w:r>
              <w:rPr>
                <w:sz w:val="20"/>
              </w:rPr>
              <w:t>Juli</w:t>
            </w:r>
          </w:p>
        </w:tc>
        <w:tc>
          <w:tcPr>
            <w:tcW w:type="dxa" w:w="7370"/>
          </w:tcPr>
          <w:p>
            <w:r>
              <w:rPr>
                <w:sz w:val="20"/>
              </w:rPr>
              <w:t>PBM-naleving — inspectie, vervanging, juist gebruik</w:t>
            </w:r>
          </w:p>
        </w:tc>
      </w:tr>
      <w:tr>
        <w:tc>
          <w:tcPr>
            <w:tcW w:type="dxa" w:w="2268"/>
          </w:tcPr>
          <w:p>
            <w:r>
              <w:rPr>
                <w:sz w:val="20"/>
              </w:rPr>
              <w:t>Augustus</w:t>
            </w:r>
          </w:p>
        </w:tc>
        <w:tc>
          <w:tcPr>
            <w:tcW w:type="dxa" w:w="7370"/>
          </w:tcPr>
          <w:p>
            <w:r>
              <w:rPr>
                <w:sz w:val="20"/>
              </w:rPr>
              <w:t>Hijsen &amp; tillen — hijmiddelen, lasttabellen, rugbelasting</w:t>
            </w:r>
          </w:p>
        </w:tc>
      </w:tr>
      <w:tr>
        <w:tc>
          <w:tcPr>
            <w:tcW w:type="dxa" w:w="2268"/>
          </w:tcPr>
          <w:p>
            <w:r>
              <w:rPr>
                <w:sz w:val="20"/>
              </w:rPr>
              <w:t>September</w:t>
            </w:r>
          </w:p>
        </w:tc>
        <w:tc>
          <w:tcPr>
            <w:tcW w:type="dxa" w:w="7370"/>
          </w:tcPr>
          <w:p>
            <w:r>
              <w:rPr>
                <w:sz w:val="20"/>
              </w:rPr>
              <w:t>Onweer &amp; noodprocedures — evacuatie, verzamelpunt, gasalarm</w:t>
            </w:r>
          </w:p>
        </w:tc>
      </w:tr>
      <w:tr>
        <w:tc>
          <w:tcPr>
            <w:tcW w:type="dxa" w:w="2268"/>
          </w:tcPr>
          <w:p>
            <w:r>
              <w:rPr>
                <w:sz w:val="20"/>
              </w:rPr>
              <w:t>Oktober</w:t>
            </w:r>
          </w:p>
        </w:tc>
        <w:tc>
          <w:tcPr>
            <w:tcW w:type="dxa" w:w="7370"/>
          </w:tcPr>
          <w:p>
            <w:r>
              <w:rPr>
                <w:sz w:val="20"/>
              </w:rPr>
              <w:t>Valgevaar — bladeren, gladheid, verlichting</w:t>
            </w:r>
          </w:p>
        </w:tc>
      </w:tr>
      <w:tr>
        <w:tc>
          <w:tcPr>
            <w:tcW w:type="dxa" w:w="2268"/>
          </w:tcPr>
          <w:p>
            <w:r>
              <w:rPr>
                <w:sz w:val="20"/>
              </w:rPr>
              <w:t>November</w:t>
            </w:r>
          </w:p>
        </w:tc>
        <w:tc>
          <w:tcPr>
            <w:tcW w:type="dxa" w:w="7370"/>
          </w:tcPr>
          <w:p>
            <w:r>
              <w:rPr>
                <w:sz w:val="20"/>
              </w:rPr>
              <w:t>Besloten ruimten — gasmetingen, ontsmetting, redding</w:t>
            </w:r>
          </w:p>
        </w:tc>
      </w:tr>
      <w:tr>
        <w:tc>
          <w:tcPr>
            <w:tcW w:type="dxa" w:w="2268"/>
          </w:tcPr>
          <w:p>
            <w:r>
              <w:rPr>
                <w:sz w:val="20"/>
              </w:rPr>
              <w:t>December</w:t>
            </w:r>
          </w:p>
        </w:tc>
        <w:tc>
          <w:tcPr>
            <w:tcW w:type="dxa" w:w="7370"/>
          </w:tcPr>
          <w:p>
            <w:r>
              <w:rPr>
                <w:sz w:val="20"/>
              </w:rPr>
              <w:t>Lessons learned — jaaroverzicht incidenten, near-misses, verbeterpunten</w:t>
            </w:r>
          </w:p>
        </w:tc>
      </w:tr>
    </w:tbl>
    <w:p/>
    <w:p>
      <w:r>
        <w:t>De HSE Manager stelt de jaarplanning op voor 1 januari van elk jaar. Afwijkingen wegens actuele incidenten zijn te allen tijde toegestaan.</w:t>
      </w:r>
    </w:p>
    <w:p>
      <w:pPr>
        <w:pStyle w:val="Heading1"/>
      </w:pPr>
      <w:r>
        <w:rPr>
          <w:color w:val="003366"/>
        </w:rPr>
        <w:t>4. Onderwerplijst (Keuzemenu)</w:t>
      </w:r>
    </w:p>
    <w:p>
      <w:r>
        <w:t>Onderstaande tabel bevat het standaard keuzemenu. De voorman selecteert wekelijks een onderwerp, aangevuld met actuele incidenten indien relevant.</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Categorie</w:t>
            </w:r>
          </w:p>
        </w:tc>
        <w:tc>
          <w:tcPr>
            <w:tcW w:type="dxa" w:w="6803"/>
            <w:shd w:fill="003366" w:val="clear"/>
          </w:tcPr>
          <w:p>
            <w:pPr>
              <w:jc w:val="center"/>
            </w:pPr>
            <w:r>
              <w:rPr>
                <w:b/>
                <w:color w:val="FFFFFF"/>
                <w:sz w:val="20"/>
              </w:rPr>
              <w:t>Onderwerp</w:t>
            </w:r>
          </w:p>
        </w:tc>
      </w:tr>
      <w:tr>
        <w:tc>
          <w:tcPr>
            <w:tcW w:type="dxa" w:w="2835"/>
          </w:tcPr>
          <w:p>
            <w:r>
              <w:rPr>
                <w:sz w:val="20"/>
              </w:rPr>
              <w:t>Algemeen</w:t>
            </w:r>
          </w:p>
        </w:tc>
        <w:tc>
          <w:tcPr>
            <w:tcW w:type="dxa" w:w="6803"/>
          </w:tcPr>
          <w:p>
            <w:r>
              <w:rPr>
                <w:sz w:val="20"/>
              </w:rPr>
              <w:t>LMRA (Laatste Minuut Risico Analyse)</w:t>
            </w:r>
          </w:p>
        </w:tc>
      </w:tr>
      <w:tr>
        <w:tc>
          <w:tcPr>
            <w:tcW w:type="dxa" w:w="2835"/>
          </w:tcPr>
          <w:p>
            <w:r>
              <w:rPr>
                <w:sz w:val="20"/>
              </w:rPr>
              <w:t>Algemeen</w:t>
            </w:r>
          </w:p>
        </w:tc>
        <w:tc>
          <w:tcPr>
            <w:tcW w:type="dxa" w:w="6803"/>
          </w:tcPr>
          <w:p>
            <w:r>
              <w:rPr>
                <w:sz w:val="20"/>
              </w:rPr>
              <w:t>Near-miss bespreking</w:t>
            </w:r>
          </w:p>
        </w:tc>
      </w:tr>
      <w:tr>
        <w:tc>
          <w:tcPr>
            <w:tcW w:type="dxa" w:w="2835"/>
          </w:tcPr>
          <w:p>
            <w:r>
              <w:rPr>
                <w:sz w:val="20"/>
              </w:rPr>
              <w:t>Algemeen</w:t>
            </w:r>
          </w:p>
        </w:tc>
        <w:tc>
          <w:tcPr>
            <w:tcW w:type="dxa" w:w="6803"/>
          </w:tcPr>
          <w:p>
            <w:r>
              <w:rPr>
                <w:sz w:val="20"/>
              </w:rPr>
              <w:t>PBM-naleving en inspectie</w:t>
            </w:r>
          </w:p>
        </w:tc>
      </w:tr>
      <w:tr>
        <w:tc>
          <w:tcPr>
            <w:tcW w:type="dxa" w:w="2835"/>
          </w:tcPr>
          <w:p>
            <w:r>
              <w:rPr>
                <w:sz w:val="20"/>
              </w:rPr>
              <w:t>Algemeen</w:t>
            </w:r>
          </w:p>
        </w:tc>
        <w:tc>
          <w:tcPr>
            <w:tcW w:type="dxa" w:w="6803"/>
          </w:tcPr>
          <w:p>
            <w:r>
              <w:rPr>
                <w:sz w:val="20"/>
              </w:rPr>
              <w:t>Huisregels herhaling</w:t>
            </w:r>
          </w:p>
        </w:tc>
      </w:tr>
      <w:tr>
        <w:tc>
          <w:tcPr>
            <w:tcW w:type="dxa" w:w="2835"/>
          </w:tcPr>
          <w:p>
            <w:r>
              <w:rPr>
                <w:sz w:val="20"/>
              </w:rPr>
              <w:t>Algemeen</w:t>
            </w:r>
          </w:p>
        </w:tc>
        <w:tc>
          <w:tcPr>
            <w:tcW w:type="dxa" w:w="6803"/>
          </w:tcPr>
          <w:p>
            <w:r>
              <w:rPr>
                <w:sz w:val="20"/>
              </w:rPr>
              <w:t>Orde &amp; netheid (5S)</w:t>
            </w:r>
          </w:p>
        </w:tc>
      </w:tr>
      <w:tr>
        <w:tc>
          <w:tcPr>
            <w:tcW w:type="dxa" w:w="2835"/>
          </w:tcPr>
          <w:p>
            <w:r>
              <w:rPr>
                <w:sz w:val="20"/>
              </w:rPr>
              <w:t>Proces-specifiek</w:t>
            </w:r>
          </w:p>
        </w:tc>
        <w:tc>
          <w:tcPr>
            <w:tcW w:type="dxa" w:w="6803"/>
          </w:tcPr>
          <w:p>
            <w:r>
              <w:rPr>
                <w:sz w:val="20"/>
              </w:rPr>
              <w:t>Stofexplosiebewustzijn (Kst-waarden, ATEX)</w:t>
            </w:r>
          </w:p>
        </w:tc>
      </w:tr>
      <w:tr>
        <w:tc>
          <w:tcPr>
            <w:tcW w:type="dxa" w:w="2835"/>
          </w:tcPr>
          <w:p>
            <w:r>
              <w:rPr>
                <w:sz w:val="20"/>
              </w:rPr>
              <w:t>Proces-specifiek</w:t>
            </w:r>
          </w:p>
        </w:tc>
        <w:tc>
          <w:tcPr>
            <w:tcW w:type="dxa" w:w="6803"/>
          </w:tcPr>
          <w:p>
            <w:r>
              <w:rPr>
                <w:sz w:val="20"/>
              </w:rPr>
              <w:t>Gevaarlijke stoffen — V₂O₅ (vanadylsulfaat)</w:t>
            </w:r>
          </w:p>
        </w:tc>
      </w:tr>
      <w:tr>
        <w:tc>
          <w:tcPr>
            <w:tcW w:type="dxa" w:w="2835"/>
          </w:tcPr>
          <w:p>
            <w:r>
              <w:rPr>
                <w:sz w:val="20"/>
              </w:rPr>
              <w:t>Proces-specifiek</w:t>
            </w:r>
          </w:p>
        </w:tc>
        <w:tc>
          <w:tcPr>
            <w:tcW w:type="dxa" w:w="6803"/>
          </w:tcPr>
          <w:p>
            <w:r>
              <w:rPr>
                <w:sz w:val="20"/>
              </w:rPr>
              <w:t>Gevaarlijke stoffen — H₂SO₄ (zwavelzuur)</w:t>
            </w:r>
          </w:p>
        </w:tc>
      </w:tr>
      <w:tr>
        <w:tc>
          <w:tcPr>
            <w:tcW w:type="dxa" w:w="2835"/>
          </w:tcPr>
          <w:p>
            <w:r>
              <w:rPr>
                <w:sz w:val="20"/>
              </w:rPr>
              <w:t>Proces-specifiek</w:t>
            </w:r>
          </w:p>
        </w:tc>
        <w:tc>
          <w:tcPr>
            <w:tcW w:type="dxa" w:w="6803"/>
          </w:tcPr>
          <w:p>
            <w:r>
              <w:rPr>
                <w:sz w:val="20"/>
              </w:rPr>
              <w:t>Chemische hygiëne en blootstellingslimieten</w:t>
            </w:r>
          </w:p>
        </w:tc>
      </w:tr>
      <w:tr>
        <w:tc>
          <w:tcPr>
            <w:tcW w:type="dxa" w:w="2835"/>
          </w:tcPr>
          <w:p>
            <w:r>
              <w:rPr>
                <w:sz w:val="20"/>
              </w:rPr>
              <w:t>Proces-specifiek</w:t>
            </w:r>
          </w:p>
        </w:tc>
        <w:tc>
          <w:tcPr>
            <w:tcW w:type="dxa" w:w="6803"/>
          </w:tcPr>
          <w:p>
            <w:r>
              <w:rPr>
                <w:sz w:val="20"/>
              </w:rPr>
              <w:t>REACH/CLP etikettering en SDS</w:t>
            </w:r>
          </w:p>
        </w:tc>
      </w:tr>
      <w:tr>
        <w:tc>
          <w:tcPr>
            <w:tcW w:type="dxa" w:w="2835"/>
          </w:tcPr>
          <w:p>
            <w:r>
              <w:rPr>
                <w:sz w:val="20"/>
              </w:rPr>
              <w:t>Proces-specifiek</w:t>
            </w:r>
          </w:p>
        </w:tc>
        <w:tc>
          <w:tcPr>
            <w:tcW w:type="dxa" w:w="6803"/>
          </w:tcPr>
          <w:p>
            <w:r>
              <w:rPr>
                <w:sz w:val="20"/>
              </w:rPr>
              <w:t>Stof- en emissiebeheersing</w:t>
            </w:r>
          </w:p>
        </w:tc>
      </w:tr>
      <w:tr>
        <w:tc>
          <w:tcPr>
            <w:tcW w:type="dxa" w:w="2835"/>
          </w:tcPr>
          <w:p>
            <w:r>
              <w:rPr>
                <w:sz w:val="20"/>
              </w:rPr>
              <w:t>Apparatuur</w:t>
            </w:r>
          </w:p>
        </w:tc>
        <w:tc>
          <w:tcPr>
            <w:tcW w:type="dxa" w:w="6803"/>
          </w:tcPr>
          <w:p>
            <w:r>
              <w:rPr>
                <w:sz w:val="20"/>
              </w:rPr>
              <w:t>LOTO (Lock-Out/Tag-Out)</w:t>
            </w:r>
          </w:p>
        </w:tc>
      </w:tr>
      <w:tr>
        <w:tc>
          <w:tcPr>
            <w:tcW w:type="dxa" w:w="2835"/>
          </w:tcPr>
          <w:p>
            <w:r>
              <w:rPr>
                <w:sz w:val="20"/>
              </w:rPr>
              <w:t>Apparatuur</w:t>
            </w:r>
          </w:p>
        </w:tc>
        <w:tc>
          <w:tcPr>
            <w:tcW w:type="dxa" w:w="6803"/>
          </w:tcPr>
          <w:p>
            <w:r>
              <w:rPr>
                <w:sz w:val="20"/>
              </w:rPr>
              <w:t>Hijsen en takelen</w:t>
            </w:r>
          </w:p>
        </w:tc>
      </w:tr>
      <w:tr>
        <w:tc>
          <w:tcPr>
            <w:tcW w:type="dxa" w:w="2835"/>
          </w:tcPr>
          <w:p>
            <w:r>
              <w:rPr>
                <w:sz w:val="20"/>
              </w:rPr>
              <w:t>Apparatuur</w:t>
            </w:r>
          </w:p>
        </w:tc>
        <w:tc>
          <w:tcPr>
            <w:tcW w:type="dxa" w:w="6803"/>
          </w:tcPr>
          <w:p>
            <w:r>
              <w:rPr>
                <w:sz w:val="20"/>
              </w:rPr>
              <w:t>Werken op hoogte</w:t>
            </w:r>
          </w:p>
        </w:tc>
      </w:tr>
      <w:tr>
        <w:tc>
          <w:tcPr>
            <w:tcW w:type="dxa" w:w="2835"/>
          </w:tcPr>
          <w:p>
            <w:r>
              <w:rPr>
                <w:sz w:val="20"/>
              </w:rPr>
              <w:t>Apparatuur</w:t>
            </w:r>
          </w:p>
        </w:tc>
        <w:tc>
          <w:tcPr>
            <w:tcW w:type="dxa" w:w="6803"/>
          </w:tcPr>
          <w:p>
            <w:r>
              <w:rPr>
                <w:sz w:val="20"/>
              </w:rPr>
              <w:t>Besloten ruimten</w:t>
            </w:r>
          </w:p>
        </w:tc>
      </w:tr>
      <w:tr>
        <w:tc>
          <w:tcPr>
            <w:tcW w:type="dxa" w:w="2835"/>
          </w:tcPr>
          <w:p>
            <w:r>
              <w:rPr>
                <w:sz w:val="20"/>
              </w:rPr>
              <w:t>Apparatuur</w:t>
            </w:r>
          </w:p>
        </w:tc>
        <w:tc>
          <w:tcPr>
            <w:tcW w:type="dxa" w:w="6803"/>
          </w:tcPr>
          <w:p>
            <w:r>
              <w:rPr>
                <w:sz w:val="20"/>
              </w:rPr>
              <w:t>Heet werk (brandveiligheid)</w:t>
            </w:r>
          </w:p>
        </w:tc>
      </w:tr>
      <w:tr>
        <w:tc>
          <w:tcPr>
            <w:tcW w:type="dxa" w:w="2835"/>
          </w:tcPr>
          <w:p>
            <w:r>
              <w:rPr>
                <w:sz w:val="20"/>
              </w:rPr>
              <w:t>Apparatuur</w:t>
            </w:r>
          </w:p>
        </w:tc>
        <w:tc>
          <w:tcPr>
            <w:tcW w:type="dxa" w:w="6803"/>
          </w:tcPr>
          <w:p>
            <w:r>
              <w:rPr>
                <w:sz w:val="20"/>
              </w:rPr>
              <w:t>Drukapparatuur en lekkagedetectie</w:t>
            </w:r>
          </w:p>
        </w:tc>
      </w:tr>
      <w:tr>
        <w:tc>
          <w:tcPr>
            <w:tcW w:type="dxa" w:w="2835"/>
          </w:tcPr>
          <w:p>
            <w:r>
              <w:rPr>
                <w:sz w:val="20"/>
              </w:rPr>
              <w:t>Noodsituaties</w:t>
            </w:r>
          </w:p>
        </w:tc>
        <w:tc>
          <w:tcPr>
            <w:tcW w:type="dxa" w:w="6803"/>
          </w:tcPr>
          <w:p>
            <w:r>
              <w:rPr>
                <w:sz w:val="20"/>
              </w:rPr>
              <w:t>Evacuatieprocedure</w:t>
            </w:r>
          </w:p>
        </w:tc>
      </w:tr>
      <w:tr>
        <w:tc>
          <w:tcPr>
            <w:tcW w:type="dxa" w:w="2835"/>
          </w:tcPr>
          <w:p>
            <w:r>
              <w:rPr>
                <w:sz w:val="20"/>
              </w:rPr>
              <w:t>Noodsituaties</w:t>
            </w:r>
          </w:p>
        </w:tc>
        <w:tc>
          <w:tcPr>
            <w:tcW w:type="dxa" w:w="6803"/>
          </w:tcPr>
          <w:p>
            <w:r>
              <w:rPr>
                <w:sz w:val="20"/>
              </w:rPr>
              <w:t>Brandbestrijding (blustoefening)</w:t>
            </w:r>
          </w:p>
        </w:tc>
      </w:tr>
      <w:tr>
        <w:tc>
          <w:tcPr>
            <w:tcW w:type="dxa" w:w="2835"/>
          </w:tcPr>
          <w:p>
            <w:r>
              <w:rPr>
                <w:sz w:val="20"/>
              </w:rPr>
              <w:t>Noodsituaties</w:t>
            </w:r>
          </w:p>
        </w:tc>
        <w:tc>
          <w:tcPr>
            <w:tcW w:type="dxa" w:w="6803"/>
          </w:tcPr>
          <w:p>
            <w:r>
              <w:rPr>
                <w:sz w:val="20"/>
              </w:rPr>
              <w:t>Eerste hulp (BHV)</w:t>
            </w:r>
          </w:p>
        </w:tc>
      </w:tr>
      <w:tr>
        <w:tc>
          <w:tcPr>
            <w:tcW w:type="dxa" w:w="2835"/>
          </w:tcPr>
          <w:p>
            <w:r>
              <w:rPr>
                <w:sz w:val="20"/>
              </w:rPr>
              <w:t>Noodsituaties</w:t>
            </w:r>
          </w:p>
        </w:tc>
        <w:tc>
          <w:tcPr>
            <w:tcW w:type="dxa" w:w="6803"/>
          </w:tcPr>
          <w:p>
            <w:r>
              <w:rPr>
                <w:sz w:val="20"/>
              </w:rPr>
              <w:t>Gasalarm — CO, H₂S, brandbare gassen</w:t>
            </w:r>
          </w:p>
        </w:tc>
      </w:tr>
      <w:tr>
        <w:tc>
          <w:tcPr>
            <w:tcW w:type="dxa" w:w="2835"/>
          </w:tcPr>
          <w:p>
            <w:r>
              <w:rPr>
                <w:sz w:val="20"/>
              </w:rPr>
              <w:t>Noodsituaties</w:t>
            </w:r>
          </w:p>
        </w:tc>
        <w:tc>
          <w:tcPr>
            <w:tcW w:type="dxa" w:w="6803"/>
          </w:tcPr>
          <w:p>
            <w:r>
              <w:rPr>
                <w:sz w:val="20"/>
              </w:rPr>
              <w:t>Nooddouches en oogspoelposten</w:t>
            </w:r>
          </w:p>
        </w:tc>
      </w:tr>
      <w:tr>
        <w:tc>
          <w:tcPr>
            <w:tcW w:type="dxa" w:w="2835"/>
          </w:tcPr>
          <w:p>
            <w:r>
              <w:rPr>
                <w:sz w:val="20"/>
              </w:rPr>
              <w:t>Seizoensgebonden</w:t>
            </w:r>
          </w:p>
        </w:tc>
        <w:tc>
          <w:tcPr>
            <w:tcW w:type="dxa" w:w="6803"/>
          </w:tcPr>
          <w:p>
            <w:r>
              <w:rPr>
                <w:sz w:val="20"/>
              </w:rPr>
              <w:t>Hitte en UV-bescherming</w:t>
            </w:r>
          </w:p>
        </w:tc>
      </w:tr>
      <w:tr>
        <w:tc>
          <w:tcPr>
            <w:tcW w:type="dxa" w:w="2835"/>
          </w:tcPr>
          <w:p>
            <w:r>
              <w:rPr>
                <w:sz w:val="20"/>
              </w:rPr>
              <w:t>Seizoensgebonden</w:t>
            </w:r>
          </w:p>
        </w:tc>
        <w:tc>
          <w:tcPr>
            <w:tcW w:type="dxa" w:w="6803"/>
          </w:tcPr>
          <w:p>
            <w:r>
              <w:rPr>
                <w:sz w:val="20"/>
              </w:rPr>
              <w:t>Kou en gladheid</w:t>
            </w:r>
          </w:p>
        </w:tc>
      </w:tr>
      <w:tr>
        <w:tc>
          <w:tcPr>
            <w:tcW w:type="dxa" w:w="2835"/>
          </w:tcPr>
          <w:p>
            <w:r>
              <w:rPr>
                <w:sz w:val="20"/>
              </w:rPr>
              <w:t>Seizoensgebonden</w:t>
            </w:r>
          </w:p>
        </w:tc>
        <w:tc>
          <w:tcPr>
            <w:tcW w:type="dxa" w:w="6803"/>
          </w:tcPr>
          <w:p>
            <w:r>
              <w:rPr>
                <w:sz w:val="20"/>
              </w:rPr>
              <w:t>Onweer en blikseminslag</w:t>
            </w:r>
          </w:p>
        </w:tc>
      </w:tr>
      <w:tr>
        <w:tc>
          <w:tcPr>
            <w:tcW w:type="dxa" w:w="2835"/>
          </w:tcPr>
          <w:p>
            <w:r>
              <w:rPr>
                <w:sz w:val="20"/>
              </w:rPr>
              <w:t>Seizoensgebonden</w:t>
            </w:r>
          </w:p>
        </w:tc>
        <w:tc>
          <w:tcPr>
            <w:tcW w:type="dxa" w:w="6803"/>
          </w:tcPr>
          <w:p>
            <w:r>
              <w:rPr>
                <w:sz w:val="20"/>
              </w:rPr>
              <w:t>Herfst — valgevaar (bladeren, vocht)</w:t>
            </w:r>
          </w:p>
        </w:tc>
      </w:tr>
      <w:tr>
        <w:tc>
          <w:tcPr>
            <w:tcW w:type="dxa" w:w="2835"/>
          </w:tcPr>
          <w:p>
            <w:r>
              <w:rPr>
                <w:sz w:val="20"/>
              </w:rPr>
              <w:t>Organisatorisch</w:t>
            </w:r>
          </w:p>
        </w:tc>
        <w:tc>
          <w:tcPr>
            <w:tcW w:type="dxa" w:w="6803"/>
          </w:tcPr>
          <w:p>
            <w:r>
              <w:rPr>
                <w:sz w:val="20"/>
              </w:rPr>
              <w:t>Management of Change — MoC (zie PE-202-01)</w:t>
            </w:r>
          </w:p>
        </w:tc>
      </w:tr>
      <w:tr>
        <w:tc>
          <w:tcPr>
            <w:tcW w:type="dxa" w:w="2835"/>
          </w:tcPr>
          <w:p>
            <w:r>
              <w:rPr>
                <w:sz w:val="20"/>
              </w:rPr>
              <w:t>Organisatorisch</w:t>
            </w:r>
          </w:p>
        </w:tc>
        <w:tc>
          <w:tcPr>
            <w:tcW w:type="dxa" w:w="6803"/>
          </w:tcPr>
          <w:p>
            <w:r>
              <w:rPr>
                <w:sz w:val="20"/>
              </w:rPr>
              <w:t>Nieuwe wet- en regelgeving</w:t>
            </w:r>
          </w:p>
        </w:tc>
      </w:tr>
      <w:tr>
        <w:tc>
          <w:tcPr>
            <w:tcW w:type="dxa" w:w="2835"/>
          </w:tcPr>
          <w:p>
            <w:r>
              <w:rPr>
                <w:sz w:val="20"/>
              </w:rPr>
              <w:t>Organisatorisch</w:t>
            </w:r>
          </w:p>
        </w:tc>
        <w:tc>
          <w:tcPr>
            <w:tcW w:type="dxa" w:w="6803"/>
          </w:tcPr>
          <w:p>
            <w:r>
              <w:rPr>
                <w:sz w:val="20"/>
              </w:rPr>
              <w:t>Auditbevindingen en verbeteracties</w:t>
            </w:r>
          </w:p>
        </w:tc>
      </w:tr>
      <w:tr>
        <w:tc>
          <w:tcPr>
            <w:tcW w:type="dxa" w:w="2835"/>
          </w:tcPr>
          <w:p>
            <w:r>
              <w:rPr>
                <w:sz w:val="20"/>
              </w:rPr>
              <w:t>Organisatorisch</w:t>
            </w:r>
          </w:p>
        </w:tc>
        <w:tc>
          <w:tcPr>
            <w:tcW w:type="dxa" w:w="6803"/>
          </w:tcPr>
          <w:p>
            <w:r>
              <w:rPr>
                <w:sz w:val="20"/>
              </w:rPr>
              <w:t>Lessons learned</w:t>
            </w:r>
          </w:p>
        </w:tc>
      </w:tr>
      <w:tr>
        <w:tc>
          <w:tcPr>
            <w:tcW w:type="dxa" w:w="2835"/>
          </w:tcPr>
          <w:p>
            <w:r>
              <w:rPr>
                <w:sz w:val="20"/>
              </w:rPr>
              <w:t>Organisatorisch</w:t>
            </w:r>
          </w:p>
        </w:tc>
        <w:tc>
          <w:tcPr>
            <w:tcW w:type="dxa" w:w="6803"/>
          </w:tcPr>
          <w:p>
            <w:r>
              <w:rPr>
                <w:sz w:val="20"/>
              </w:rPr>
              <w:t>Veiligheidsobservaties en feedback</w:t>
            </w:r>
          </w:p>
        </w:tc>
      </w:tr>
      <w:tr>
        <w:tc>
          <w:tcPr>
            <w:tcW w:type="dxa" w:w="2835"/>
          </w:tcPr>
          <w:p>
            <w:r>
              <w:rPr>
                <w:sz w:val="20"/>
              </w:rPr>
              <w:t>Organisatorisch</w:t>
            </w:r>
          </w:p>
        </w:tc>
        <w:tc>
          <w:tcPr>
            <w:tcW w:type="dxa" w:w="6803"/>
          </w:tcPr>
          <w:p>
            <w:r>
              <w:rPr>
                <w:sz w:val="20"/>
              </w:rPr>
              <w:t>Risico-Inventarisatie &amp; -Evaluatie update (RI&amp;E)</w:t>
            </w:r>
          </w:p>
        </w:tc>
      </w:tr>
    </w:tbl>
    <w:p>
      <w:pPr>
        <w:pStyle w:val="Heading1"/>
      </w:pPr>
      <w:r>
        <w:rPr>
          <w:color w:val="003366"/>
        </w:rPr>
        <w:t>5. Voorbereiding door Voorman</w:t>
      </w:r>
    </w:p>
    <w:p>
      <w:r>
        <w:t>De voorman bereidt elke toolbox meeting voor volgens onderstaande stappen:</w:t>
      </w:r>
    </w:p>
    <w:p>
      <w:r>
        <w:t>1. Onderwerp selecteren uit de onderwerplijst (§4) of op basis van een actueel incident.</w:t>
      </w:r>
    </w:p>
    <w:p>
      <w:r>
        <w:t>2. Benodigde materialen verzamelen: SDS-fiches, foto's, incidentrapporten, proces-diagrammen.</w:t>
      </w:r>
    </w:p>
    <w:p>
      <w:r>
        <w:t>3. 3 tot 5 kernboodschappen formuleren — concreet, specifiek, actiegericht.</w:t>
      </w:r>
    </w:p>
    <w:p>
      <w:r>
        <w:t>4. Locatie en tijdstip bevestigen (vaste plek per ploeg).</w:t>
      </w:r>
    </w:p>
    <w:p>
      <w:r>
        <w:t>5. Verwachte duur: 15-20 minuten.</w:t>
      </w:r>
    </w:p>
    <w:p>
      <w:pPr>
        <w:pStyle w:val="Heading1"/>
      </w:pPr>
      <w:r>
        <w:rPr>
          <w:color w:val="003366"/>
        </w:rPr>
        <w:t>6. Uitvoering — Stap voor Stap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Stap</w:t>
            </w:r>
          </w:p>
        </w:tc>
        <w:tc>
          <w:tcPr>
            <w:tcW w:type="dxa" w:w="1701"/>
            <w:shd w:fill="003366" w:val="clear"/>
          </w:tcPr>
          <w:p>
            <w:pPr>
              <w:jc w:val="center"/>
            </w:pPr>
            <w:r>
              <w:rPr>
                <w:b/>
                <w:color w:val="FFFFFF"/>
                <w:sz w:val="20"/>
              </w:rPr>
              <w:t>Fase</w:t>
            </w:r>
          </w:p>
        </w:tc>
        <w:tc>
          <w:tcPr>
            <w:tcW w:type="dxa" w:w="1134"/>
            <w:shd w:fill="003366" w:val="clear"/>
          </w:tcPr>
          <w:p>
            <w:pPr>
              <w:jc w:val="center"/>
            </w:pPr>
            <w:r>
              <w:rPr>
                <w:b/>
                <w:color w:val="FFFFFF"/>
                <w:sz w:val="20"/>
              </w:rPr>
              <w:t>Tijd</w:t>
            </w:r>
          </w:p>
        </w:tc>
        <w:tc>
          <w:tcPr>
            <w:tcW w:type="dxa" w:w="5953"/>
            <w:shd w:fill="003366" w:val="clear"/>
          </w:tcPr>
          <w:p>
            <w:pPr>
              <w:jc w:val="center"/>
            </w:pPr>
            <w:r>
              <w:rPr>
                <w:b/>
                <w:color w:val="FFFFFF"/>
                <w:sz w:val="20"/>
              </w:rPr>
              <w:t>Actie</w:t>
            </w:r>
          </w:p>
        </w:tc>
      </w:tr>
      <w:tr>
        <w:tc>
          <w:tcPr>
            <w:tcW w:type="dxa" w:w="850"/>
          </w:tcPr>
          <w:p>
            <w:r>
              <w:rPr>
                <w:sz w:val="20"/>
              </w:rPr>
              <w:t>1</w:t>
            </w:r>
          </w:p>
        </w:tc>
        <w:tc>
          <w:tcPr>
            <w:tcW w:type="dxa" w:w="1701"/>
          </w:tcPr>
          <w:p>
            <w:r>
              <w:rPr>
                <w:sz w:val="20"/>
              </w:rPr>
              <w:t>Opening</w:t>
            </w:r>
          </w:p>
        </w:tc>
        <w:tc>
          <w:tcPr>
            <w:tcW w:type="dxa" w:w="1134"/>
          </w:tcPr>
          <w:p>
            <w:r>
              <w:rPr>
                <w:sz w:val="20"/>
              </w:rPr>
              <w:t>2 min</w:t>
            </w:r>
          </w:p>
        </w:tc>
        <w:tc>
          <w:tcPr>
            <w:tcW w:type="dxa" w:w="5953"/>
          </w:tcPr>
          <w:p>
            <w:r>
              <w:rPr>
                <w:sz w:val="20"/>
              </w:rPr>
              <w:t>Aanwezigen registeren op aanwezigheidslijst; onderwerp introduceren; doel uitleggen</w:t>
            </w:r>
          </w:p>
        </w:tc>
      </w:tr>
      <w:tr>
        <w:tc>
          <w:tcPr>
            <w:tcW w:type="dxa" w:w="850"/>
          </w:tcPr>
          <w:p>
            <w:r>
              <w:rPr>
                <w:sz w:val="20"/>
              </w:rPr>
              <w:t>2</w:t>
            </w:r>
          </w:p>
        </w:tc>
        <w:tc>
          <w:tcPr>
            <w:tcW w:type="dxa" w:w="1701"/>
          </w:tcPr>
          <w:p>
            <w:r>
              <w:rPr>
                <w:sz w:val="20"/>
              </w:rPr>
              <w:t>Kernboodschap</w:t>
            </w:r>
          </w:p>
        </w:tc>
        <w:tc>
          <w:tcPr>
            <w:tcW w:type="dxa" w:w="1134"/>
          </w:tcPr>
          <w:p>
            <w:r>
              <w:rPr>
                <w:sz w:val="20"/>
              </w:rPr>
              <w:t>8-10 min</w:t>
            </w:r>
          </w:p>
        </w:tc>
        <w:tc>
          <w:tcPr>
            <w:tcW w:type="dxa" w:w="5953"/>
          </w:tcPr>
          <w:p>
            <w:r>
              <w:rPr>
                <w:sz w:val="20"/>
              </w:rPr>
              <w:t>3-5 key points presenteren; visueel waar mogelijk (foto's, schema's); koppeling aan eigen werkplek</w:t>
            </w:r>
          </w:p>
        </w:tc>
      </w:tr>
      <w:tr>
        <w:tc>
          <w:tcPr>
            <w:tcW w:type="dxa" w:w="850"/>
          </w:tcPr>
          <w:p>
            <w:r>
              <w:rPr>
                <w:sz w:val="20"/>
              </w:rPr>
              <w:t>3</w:t>
            </w:r>
          </w:p>
        </w:tc>
        <w:tc>
          <w:tcPr>
            <w:tcW w:type="dxa" w:w="1701"/>
          </w:tcPr>
          <w:p>
            <w:r>
              <w:rPr>
                <w:sz w:val="20"/>
              </w:rPr>
              <w:t>Discussie</w:t>
            </w:r>
          </w:p>
        </w:tc>
        <w:tc>
          <w:tcPr>
            <w:tcW w:type="dxa" w:w="1134"/>
          </w:tcPr>
          <w:p>
            <w:r>
              <w:rPr>
                <w:sz w:val="20"/>
              </w:rPr>
              <w:t>5 min</w:t>
            </w:r>
          </w:p>
        </w:tc>
        <w:tc>
          <w:tcPr>
            <w:tcW w:type="dxa" w:w="5953"/>
          </w:tcPr>
          <w:p>
            <w:r>
              <w:rPr>
                <w:sz w:val="20"/>
              </w:rPr>
              <w:t>Werkvloer inbreng; observaties en vragen; near-messes bespreken</w:t>
            </w:r>
          </w:p>
        </w:tc>
      </w:tr>
      <w:tr>
        <w:tc>
          <w:tcPr>
            <w:tcW w:type="dxa" w:w="850"/>
          </w:tcPr>
          <w:p>
            <w:r>
              <w:rPr>
                <w:sz w:val="20"/>
              </w:rPr>
              <w:t>4</w:t>
            </w:r>
          </w:p>
        </w:tc>
        <w:tc>
          <w:tcPr>
            <w:tcW w:type="dxa" w:w="1701"/>
          </w:tcPr>
          <w:p>
            <w:r>
              <w:rPr>
                <w:sz w:val="20"/>
              </w:rPr>
              <w:t>Acties</w:t>
            </w:r>
          </w:p>
        </w:tc>
        <w:tc>
          <w:tcPr>
            <w:tcW w:type="dxa" w:w="1134"/>
          </w:tcPr>
          <w:p>
            <w:r>
              <w:rPr>
                <w:sz w:val="20"/>
              </w:rPr>
              <w:t>3 min</w:t>
            </w:r>
          </w:p>
        </w:tc>
        <w:tc>
          <w:tcPr>
            <w:tcW w:type="dxa" w:w="5953"/>
          </w:tcPr>
          <w:p>
            <w:r>
              <w:rPr>
                <w:sz w:val="20"/>
              </w:rPr>
              <w:t>Concreet: wie doet wat, wanneer; direct noteerbaar op formulier</w:t>
            </w:r>
          </w:p>
        </w:tc>
      </w:tr>
      <w:tr>
        <w:tc>
          <w:tcPr>
            <w:tcW w:type="dxa" w:w="850"/>
          </w:tcPr>
          <w:p>
            <w:r>
              <w:rPr>
                <w:sz w:val="20"/>
              </w:rPr>
              <w:t>5</w:t>
            </w:r>
          </w:p>
        </w:tc>
        <w:tc>
          <w:tcPr>
            <w:tcW w:type="dxa" w:w="1701"/>
          </w:tcPr>
          <w:p>
            <w:r>
              <w:rPr>
                <w:sz w:val="20"/>
              </w:rPr>
              <w:t>Afsluiting</w:t>
            </w:r>
          </w:p>
        </w:tc>
        <w:tc>
          <w:tcPr>
            <w:tcW w:type="dxa" w:w="1134"/>
          </w:tcPr>
          <w:p>
            <w:r>
              <w:rPr>
                <w:sz w:val="20"/>
              </w:rPr>
              <w:t>2 min</w:t>
            </w:r>
          </w:p>
        </w:tc>
        <w:tc>
          <w:tcPr>
            <w:tcW w:type="dxa" w:w="5953"/>
          </w:tcPr>
          <w:p>
            <w:r>
              <w:rPr>
                <w:sz w:val="20"/>
              </w:rPr>
              <w:t>Samenvatting kernboodschappen; aankondiging volgende toolbox; bedankwoord</w:t>
            </w:r>
          </w:p>
        </w:tc>
      </w:tr>
    </w:tbl>
    <w:p/>
    <w:p>
      <w:r>
        <w:t>Totale duur: circa 20 minuten. De voorman bewaakt de tijd en voorkomt uitloop.</w:t>
      </w:r>
    </w:p>
    <w:p>
      <w:pPr>
        <w:pStyle w:val="Heading1"/>
      </w:pPr>
      <w:r>
        <w:rPr>
          <w:color w:val="003366"/>
        </w:rPr>
        <w:t>7. Documentatie en Archivering</w:t>
      </w:r>
    </w:p>
    <w:p>
      <w:pPr>
        <w:pStyle w:val="Heading2"/>
      </w:pPr>
      <w:r>
        <w:rPr>
          <w:color w:val="003366"/>
        </w:rPr>
        <w:t>7.1 Formulier structuur</w:t>
      </w:r>
    </w:p>
    <w:p>
      <w:r>
        <w:t>Elke toolbox meeting wordt gedocumenteerd via het standaardformulier (§8). Het formulier bevat minimaal:</w:t>
      </w:r>
    </w:p>
    <w:p>
      <w:pPr>
        <w:pStyle w:val="ListBullet"/>
      </w:pPr>
      <w:r>
        <w:t>Datum en locatie</w:t>
      </w:r>
    </w:p>
    <w:p>
      <w:pPr>
        <w:pStyle w:val="ListBullet"/>
      </w:pPr>
      <w:r>
        <w:t>Naam voorman</w:t>
      </w:r>
    </w:p>
    <w:p>
      <w:pPr>
        <w:pStyle w:val="ListBullet"/>
      </w:pPr>
      <w:r>
        <w:t>Onderwerp</w:t>
      </w:r>
    </w:p>
    <w:p>
      <w:pPr>
        <w:pStyle w:val="ListBullet"/>
      </w:pPr>
      <w:r>
        <w:t>Kernboodschappen (3-5)</w:t>
      </w:r>
    </w:p>
    <w:p>
      <w:pPr>
        <w:pStyle w:val="ListBullet"/>
      </w:pPr>
      <w:r>
        <w:t>Discussiepunten werkvloer</w:t>
      </w:r>
    </w:p>
    <w:p>
      <w:pPr>
        <w:pStyle w:val="ListBullet"/>
      </w:pPr>
      <w:r>
        <w:t>Actietabel (Nr / Actie / Wie / Wanneer / Status)</w:t>
      </w:r>
    </w:p>
    <w:p>
      <w:pPr>
        <w:pStyle w:val="ListBullet"/>
      </w:pPr>
      <w:r>
        <w:t>Aanwezigheidslijst (naam, functie, handtekening)</w:t>
      </w:r>
    </w:p>
    <w:p>
      <w:pPr>
        <w:pStyle w:val="Heading2"/>
      </w:pPr>
      <w:r>
        <w:rPr>
          <w:color w:val="003366"/>
        </w:rPr>
        <w:t>7.2 Opslag en bewaartermijn</w:t>
      </w:r>
    </w:p>
    <w:p>
      <w:r>
        <w:t>Alle ingevulde formulieren worden centraal digitaal gearchiveerd op het S-schijf (of in Ultimo). Bewaartermijn: minimaal 3 jaar.</w:t>
      </w:r>
    </w:p>
    <w:p>
      <w:pPr>
        <w:pStyle w:val="Heading2"/>
      </w:pPr>
      <w:r>
        <w:rPr>
          <w:color w:val="003366"/>
        </w:rPr>
        <w:t>7.3 Monitoring</w:t>
      </w:r>
    </w:p>
    <w:p>
      <w:r>
        <w:t>De HSE Manager controleert wekelijks of alle ploegen hun toolbox hebben uitgevoerd en gedocumenteerd. Ontbrekende toolboxen worden gemeld aan de betreffende lijnmanager.</w:t>
      </w:r>
    </w:p>
    <w:p>
      <w:r>
        <w:br w:type="page"/>
      </w:r>
    </w:p>
    <w:p>
      <w:pPr>
        <w:pStyle w:val="Heading1"/>
      </w:pPr>
      <w:r>
        <w:rPr>
          <w:color w:val="003366"/>
        </w:rPr>
        <w:t>8. Template — Invulformulier Toolbox Meeting</w:t>
      </w:r>
    </w:p>
    <w:p>
      <w:r>
        <w:t>Onderstaand formulier wordt per toolbox meeting ingevuld en gearchiveerd.</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tc>
        <w:tc>
          <w:tcPr>
            <w:tcW w:type="dxa" w:w="2351"/>
          </w:tcPr>
          <w:p/>
        </w:tc>
        <w:tc>
          <w:tcPr>
            <w:tcW w:type="dxa" w:w="2351"/>
          </w:tcPr>
          <w:p/>
        </w:tc>
        <w:tc>
          <w:tcPr>
            <w:tcW w:type="dxa" w:w="2351"/>
          </w:tcPr>
          <w:p/>
        </w:tc>
      </w:tr>
    </w:tbl>
    <w:p/>
    <w:tbl>
      <w:tblPr>
        <w:tblStyle w:val="TableGrid"/>
        <w:tblW w:type="auto" w:w="0"/>
        <w:tblLook w:firstColumn="1" w:firstRow="1" w:lastColumn="0" w:lastRow="0" w:noHBand="0" w:noVBand="1" w:val="04A0"/>
      </w:tblPr>
      <w:tblGrid>
        <w:gridCol w:w="9406"/>
      </w:tblGrid>
      <w:tr>
        <w:tc>
          <w:tcPr>
            <w:tcW w:type="dxa" w:w="9406"/>
            <w:shd w:fill="003366" w:val="clear"/>
          </w:tcPr>
          <w:p>
            <w:r>
              <w:rPr>
                <w:b/>
                <w:color w:val="FFFFFF"/>
                <w:sz w:val="20"/>
              </w:rPr>
              <w:t>Onderwerp (selecteer uit §4 of noteer actueel thema):</w:t>
            </w:r>
          </w:p>
        </w:tc>
      </w:tr>
    </w:tbl>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bl>
    <w:p/>
    <w:p>
      <w:r>
        <w:rPr>
          <w:b/>
        </w:rPr>
        <w:t>Discussiepunten werkvloer:</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Discussiepunt / Observatie</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r>
        <w:tc>
          <w:tcPr>
            <w:tcW w:type="dxa" w:w="4703"/>
          </w:tcPr>
          <w:p>
            <w:r>
              <w:t>5</w:t>
            </w:r>
          </w:p>
        </w:tc>
        <w:tc>
          <w:tcPr>
            <w:tcW w:type="dxa" w:w="4703"/>
          </w:tcPr>
          <w:p/>
        </w:tc>
      </w:tr>
    </w:tbl>
    <w:p/>
    <w:p>
      <w:r>
        <w:rPr>
          <w:b/>
        </w:rPr>
        <w:t>Actietabel:</w:t>
      </w:r>
    </w:p>
    <w:tbl>
      <w:tblPr>
        <w:tblStyle w:val="TableGrid"/>
        <w:tblW w:type="auto" w:w="0"/>
        <w:tblLook w:firstColumn="1" w:firstRow="1" w:lastColumn="0" w:lastRow="0" w:noHBand="0" w:noVBand="1" w:val="04A0"/>
      </w:tblPr>
      <w:tblGrid>
        <w:gridCol w:w="567"/>
        <w:gridCol w:w="4535"/>
        <w:gridCol w:w="1701"/>
        <w:gridCol w:w="1701"/>
        <w:gridCol w:w="1134"/>
      </w:tblGrid>
      <w:tr>
        <w:tc>
          <w:tcPr>
            <w:tcW w:type="dxa" w:w="1881"/>
            <w:shd w:fill="003366" w:val="clear"/>
          </w:tcPr>
          <w:p>
            <w:r>
              <w:rPr>
                <w:b/>
                <w:color w:val="FFFFFF"/>
                <w:sz w:val="20"/>
              </w:rPr>
              <w:t>Nr</w:t>
            </w:r>
          </w:p>
        </w:tc>
        <w:tc>
          <w:tcPr>
            <w:tcW w:type="dxa" w:w="1881"/>
            <w:shd w:fill="003366" w:val="clear"/>
          </w:tcPr>
          <w:p>
            <w:r>
              <w:rPr>
                <w:b/>
                <w:color w:val="FFFFFF"/>
                <w:sz w:val="20"/>
              </w:rPr>
              <w:t>Actie</w:t>
            </w:r>
          </w:p>
        </w:tc>
        <w:tc>
          <w:tcPr>
            <w:tcW w:type="dxa" w:w="1881"/>
            <w:shd w:fill="003366" w:val="clear"/>
          </w:tcPr>
          <w:p>
            <w:r>
              <w:rPr>
                <w:b/>
                <w:color w:val="FFFFFF"/>
                <w:sz w:val="20"/>
              </w:rPr>
              <w:t>Wie</w:t>
            </w:r>
          </w:p>
        </w:tc>
        <w:tc>
          <w:tcPr>
            <w:tcW w:type="dxa" w:w="1881"/>
            <w:shd w:fill="003366" w:val="clear"/>
          </w:tcPr>
          <w:p>
            <w:r>
              <w:rPr>
                <w:b/>
                <w:color w:val="FFFFFF"/>
                <w:sz w:val="20"/>
              </w:rPr>
              <w:t>Wanneer</w:t>
            </w:r>
          </w:p>
        </w:tc>
        <w:tc>
          <w:tcPr>
            <w:tcW w:type="dxa" w:w="1881"/>
            <w:shd w:fill="003366" w:val="clear"/>
          </w:tcPr>
          <w:p>
            <w:r>
              <w:rPr>
                <w:b/>
                <w:color w:val="FFFFFF"/>
                <w:sz w:val="20"/>
              </w:rPr>
              <w:t>Status</w:t>
            </w:r>
          </w:p>
        </w:tc>
      </w:tr>
      <w:tr>
        <w:tc>
          <w:tcPr>
            <w:tcW w:type="dxa" w:w="1881"/>
          </w:tcPr>
          <w:p>
            <w:r>
              <w:t>1</w:t>
            </w:r>
          </w:p>
        </w:tc>
        <w:tc>
          <w:tcPr>
            <w:tcW w:type="dxa" w:w="1881"/>
          </w:tcPr>
          <w:p/>
        </w:tc>
        <w:tc>
          <w:tcPr>
            <w:tcW w:type="dxa" w:w="1881"/>
          </w:tcPr>
          <w:p/>
        </w:tc>
        <w:tc>
          <w:tcPr>
            <w:tcW w:type="dxa" w:w="1881"/>
          </w:tcPr>
          <w:p/>
        </w:tc>
        <w:tc>
          <w:tcPr>
            <w:tcW w:type="dxa" w:w="1881"/>
          </w:tcPr>
          <w:p/>
        </w:tc>
      </w:tr>
      <w:tr>
        <w:tc>
          <w:tcPr>
            <w:tcW w:type="dxa" w:w="1881"/>
          </w:tcPr>
          <w:p>
            <w:r>
              <w:t>2</w:t>
            </w:r>
          </w:p>
        </w:tc>
        <w:tc>
          <w:tcPr>
            <w:tcW w:type="dxa" w:w="1881"/>
          </w:tcPr>
          <w:p/>
        </w:tc>
        <w:tc>
          <w:tcPr>
            <w:tcW w:type="dxa" w:w="1881"/>
          </w:tcPr>
          <w:p/>
        </w:tc>
        <w:tc>
          <w:tcPr>
            <w:tcW w:type="dxa" w:w="1881"/>
          </w:tcPr>
          <w:p/>
        </w:tc>
        <w:tc>
          <w:tcPr>
            <w:tcW w:type="dxa" w:w="1881"/>
          </w:tcPr>
          <w:p/>
        </w:tc>
      </w:tr>
      <w:tr>
        <w:tc>
          <w:tcPr>
            <w:tcW w:type="dxa" w:w="1881"/>
          </w:tcPr>
          <w:p>
            <w:r>
              <w:t>3</w:t>
            </w:r>
          </w:p>
        </w:tc>
        <w:tc>
          <w:tcPr>
            <w:tcW w:type="dxa" w:w="1881"/>
          </w:tcPr>
          <w:p/>
        </w:tc>
        <w:tc>
          <w:tcPr>
            <w:tcW w:type="dxa" w:w="1881"/>
          </w:tcPr>
          <w:p/>
        </w:tc>
        <w:tc>
          <w:tcPr>
            <w:tcW w:type="dxa" w:w="1881"/>
          </w:tcPr>
          <w:p/>
        </w:tc>
        <w:tc>
          <w:tcPr>
            <w:tcW w:type="dxa" w:w="1881"/>
          </w:tcPr>
          <w:p/>
        </w:tc>
      </w:tr>
      <w:tr>
        <w:tc>
          <w:tcPr>
            <w:tcW w:type="dxa" w:w="1881"/>
          </w:tcPr>
          <w:p>
            <w:r>
              <w:t>4</w:t>
            </w:r>
          </w:p>
        </w:tc>
        <w:tc>
          <w:tcPr>
            <w:tcW w:type="dxa" w:w="1881"/>
          </w:tcPr>
          <w:p/>
        </w:tc>
        <w:tc>
          <w:tcPr>
            <w:tcW w:type="dxa" w:w="1881"/>
          </w:tcPr>
          <w:p/>
        </w:tc>
        <w:tc>
          <w:tcPr>
            <w:tcW w:type="dxa" w:w="1881"/>
          </w:tcPr>
          <w:p/>
        </w:tc>
        <w:tc>
          <w:tcPr>
            <w:tcW w:type="dxa" w:w="1881"/>
          </w:tcPr>
          <w:p/>
        </w:tc>
      </w:tr>
      <w:tr>
        <w:tc>
          <w:tcPr>
            <w:tcW w:type="dxa" w:w="1881"/>
          </w:tcPr>
          <w:p>
            <w:r>
              <w:t>5</w:t>
            </w:r>
          </w:p>
        </w:tc>
        <w:tc>
          <w:tcPr>
            <w:tcW w:type="dxa" w:w="1881"/>
          </w:tcPr>
          <w:p/>
        </w:tc>
        <w:tc>
          <w:tcPr>
            <w:tcW w:type="dxa" w:w="1881"/>
          </w:tcPr>
          <w:p/>
        </w:tc>
        <w:tc>
          <w:tcPr>
            <w:tcW w:type="dxa" w:w="1881"/>
          </w:tcPr>
          <w:p/>
        </w:tc>
        <w:tc>
          <w:tcPr>
            <w:tcW w:type="dxa" w:w="1881"/>
          </w:tcPr>
          <w:p/>
        </w:tc>
      </w:tr>
    </w:tbl>
    <w:p/>
    <w:p>
      <w:r>
        <w:rPr>
          <w:b/>
        </w:rPr>
        <w:t>Aanwezigheidslijst:</w:t>
      </w:r>
    </w:p>
    <w:tbl>
      <w:tblPr>
        <w:tblStyle w:val="TableGrid"/>
        <w:tblW w:type="auto" w:w="0"/>
        <w:tblLook w:firstColumn="1" w:firstRow="1" w:lastColumn="0" w:lastRow="0" w:noHBand="0" w:noVBand="1" w:val="04A0"/>
      </w:tblPr>
      <w:tblGrid>
        <w:gridCol w:w="3402"/>
        <w:gridCol w:w="2835"/>
        <w:gridCol w:w="3402"/>
      </w:tblGrid>
      <w:tr>
        <w:tc>
          <w:tcPr>
            <w:tcW w:type="dxa" w:w="3135"/>
            <w:shd w:fill="003366" w:val="clear"/>
          </w:tcPr>
          <w:p>
            <w:r>
              <w:rPr>
                <w:b/>
                <w:color w:val="FFFFFF"/>
                <w:sz w:val="20"/>
              </w:rPr>
              <w:t>Naam</w:t>
            </w:r>
          </w:p>
        </w:tc>
        <w:tc>
          <w:tcPr>
            <w:tcW w:type="dxa" w:w="3135"/>
            <w:shd w:fill="003366" w:val="clear"/>
          </w:tcPr>
          <w:p>
            <w:r>
              <w:rPr>
                <w:b/>
                <w:color w:val="FFFFFF"/>
                <w:sz w:val="20"/>
              </w:rPr>
              <w:t>Functie</w:t>
            </w:r>
          </w:p>
        </w:tc>
        <w:tc>
          <w:tcPr>
            <w:tcW w:type="dxa" w:w="3135"/>
            <w:shd w:fill="003366" w:val="clear"/>
          </w:tcPr>
          <w:p>
            <w:r>
              <w:rPr>
                <w:b/>
                <w:color w:val="FFFFFF"/>
                <w:sz w:val="20"/>
              </w:rPr>
              <w:t>Handtekening</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bl>
    <w:p>
      <w:r>
        <w:br w:type="page"/>
      </w:r>
    </w:p>
    <w:p>
      <w:pPr>
        <w:pStyle w:val="Heading1"/>
      </w:pPr>
      <w:r>
        <w:rPr>
          <w:color w:val="003366"/>
        </w:rPr>
        <w:t>9. Voorbeeld — Ingevulde Toolbox Meeting</w:t>
      </w:r>
    </w:p>
    <w:p>
      <w:r>
        <w:t>Onderstaand voorbeeld illustreert een correct ingevulde toolbox meeting.</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r>
              <w:t>15 april 2026</w:t>
            </w:r>
          </w:p>
        </w:tc>
        <w:tc>
          <w:tcPr>
            <w:tcW w:type="dxa" w:w="2351"/>
          </w:tcPr>
          <w:p>
            <w:r>
              <w:t>Productiehal A</w:t>
            </w:r>
          </w:p>
        </w:tc>
        <w:tc>
          <w:tcPr>
            <w:tcW w:type="dxa" w:w="2351"/>
          </w:tcPr>
          <w:p>
            <w:r>
              <w:t>Jan de Boer</w:t>
            </w:r>
          </w:p>
        </w:tc>
        <w:tc>
          <w:tcPr>
            <w:tcW w:type="dxa" w:w="2351"/>
          </w:tcPr>
          <w:p>
            <w:r>
              <w:t>07:30</w:t>
            </w:r>
          </w:p>
        </w:tc>
      </w:tr>
    </w:tbl>
    <w:p/>
    <w:p>
      <w:r>
        <w:rPr>
          <w:b/>
        </w:rPr>
        <w:t>Onderwerp: Stofexplosie risico's bij bewerken van vanadium-concentraat</w:t>
      </w:r>
    </w:p>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r>
              <w:t>V₂O₅-stof heeft een Kst-waarde &gt; 200 bar·m/s (St-2 classificatie) — ernstig stofexplosiegevaar [5]</w:t>
            </w:r>
          </w:p>
        </w:tc>
      </w:tr>
      <w:tr>
        <w:tc>
          <w:tcPr>
            <w:tcW w:type="dxa" w:w="4703"/>
          </w:tcPr>
          <w:p>
            <w:r>
              <w:t>2</w:t>
            </w:r>
          </w:p>
        </w:tc>
        <w:tc>
          <w:tcPr>
            <w:tcW w:type="dxa" w:w="4703"/>
          </w:tcPr>
          <w:p>
            <w:r>
              <w:t>ATEX-zones gelden in en rond de molen- en zeefinstallatie; alleen toegestaan met ATEX-certificatie</w:t>
            </w:r>
          </w:p>
        </w:tc>
      </w:tr>
      <w:tr>
        <w:tc>
          <w:tcPr>
            <w:tcW w:type="dxa" w:w="4703"/>
          </w:tcPr>
          <w:p>
            <w:r>
              <w:t>3</w:t>
            </w:r>
          </w:p>
        </w:tc>
        <w:tc>
          <w:tcPr>
            <w:tcW w:type="dxa" w:w="4703"/>
          </w:tcPr>
          <w:p>
            <w:r>
              <w:t>Reinigingsprotocol: minimaal 2x per dag stofafzuiging; direct melden bij stofophoping</w:t>
            </w:r>
          </w:p>
        </w:tc>
      </w:tr>
      <w:tr>
        <w:tc>
          <w:tcPr>
            <w:tcW w:type="dxa" w:w="4703"/>
          </w:tcPr>
          <w:p>
            <w:r>
              <w:t>4</w:t>
            </w:r>
          </w:p>
        </w:tc>
        <w:tc>
          <w:tcPr>
            <w:tcW w:type="dxa" w:w="4703"/>
          </w:tcPr>
          <w:p>
            <w:r>
              <w:t>PBM: altijd FFP3-masker + veiligheidsbril in zone; gehoorbescherming bij &gt;85 dB(A)</w:t>
            </w:r>
          </w:p>
        </w:tc>
      </w:tr>
      <w:tr>
        <w:tc>
          <w:tcPr>
            <w:tcW w:type="dxa" w:w="4703"/>
          </w:tcPr>
          <w:p>
            <w:r>
              <w:t>5</w:t>
            </w:r>
          </w:p>
        </w:tc>
        <w:tc>
          <w:tcPr>
            <w:tcW w:type="dxa" w:w="4703"/>
          </w:tcPr>
          <w:p>
            <w:r>
              <w:t>Meld elke stofwolk of afwijking direct bij de voorman — geen uitzondering</w:t>
            </w:r>
          </w:p>
        </w:tc>
      </w:tr>
    </w:tbl>
    <w:p/>
    <w:p>
      <w:r>
        <w:rPr>
          <w:b/>
        </w:rPr>
        <w:t>Discussiepunten:</w:t>
      </w:r>
    </w:p>
    <w:p>
      <w:r>
        <w:t>1. Operator Bakker: stofafzuiging bij zeef 3 is onvoldoende bij volle capaciteit</w:t>
      </w:r>
    </w:p>
    <w:p>
      <w:r>
        <w:t>2. Operator Jansen: FFP3-masker knelt na 2 uur — alternatief overwegen</w:t>
      </w:r>
    </w:p>
    <w:p>
      <w:r>
        <w:t>3. Operator Visser: ATEX-labeling bij pompruimte ontbreekt</w:t>
      </w:r>
    </w:p>
    <w:p/>
    <w:p>
      <w:r>
        <w:rPr>
          <w:b/>
        </w:rPr>
        <w:t>Acties: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3969"/>
            <w:shd w:fill="003366" w:val="clear"/>
          </w:tcPr>
          <w:p>
            <w:pPr>
              <w:jc w:val="center"/>
            </w:pPr>
            <w:r>
              <w:rPr>
                <w:b/>
                <w:color w:val="FFFFFF"/>
                <w:sz w:val="20"/>
              </w:rPr>
              <w:t>Actie</w:t>
            </w:r>
          </w:p>
        </w:tc>
        <w:tc>
          <w:tcPr>
            <w:tcW w:type="dxa" w:w="1701"/>
            <w:shd w:fill="003366" w:val="clear"/>
          </w:tcPr>
          <w:p>
            <w:pPr>
              <w:jc w:val="center"/>
            </w:pPr>
            <w:r>
              <w:rPr>
                <w:b/>
                <w:color w:val="FFFFFF"/>
                <w:sz w:val="20"/>
              </w:rPr>
              <w:t>Wie</w:t>
            </w:r>
          </w:p>
        </w:tc>
        <w:tc>
          <w:tcPr>
            <w:tcW w:type="dxa" w:w="1701"/>
            <w:shd w:fill="003366" w:val="clear"/>
          </w:tcPr>
          <w:p>
            <w:pPr>
              <w:jc w:val="center"/>
            </w:pPr>
            <w:r>
              <w:rPr>
                <w:b/>
                <w:color w:val="FFFFFF"/>
                <w:sz w:val="20"/>
              </w:rPr>
              <w:t>Wanneer</w:t>
            </w:r>
          </w:p>
        </w:tc>
        <w:tc>
          <w:tcPr>
            <w:tcW w:type="dxa" w:w="1134"/>
            <w:shd w:fill="003366" w:val="clear"/>
          </w:tcPr>
          <w:p>
            <w:pPr>
              <w:jc w:val="center"/>
            </w:pPr>
            <w:r>
              <w:rPr>
                <w:b/>
                <w:color w:val="FFFFFF"/>
                <w:sz w:val="20"/>
              </w:rPr>
              <w:t>Status</w:t>
            </w:r>
          </w:p>
        </w:tc>
      </w:tr>
      <w:tr>
        <w:tc>
          <w:tcPr>
            <w:tcW w:type="dxa" w:w="567"/>
          </w:tcPr>
          <w:p>
            <w:r>
              <w:rPr>
                <w:sz w:val="20"/>
              </w:rPr>
              <w:t>1</w:t>
            </w:r>
          </w:p>
        </w:tc>
        <w:tc>
          <w:tcPr>
            <w:tcW w:type="dxa" w:w="3969"/>
          </w:tcPr>
          <w:p>
            <w:r>
              <w:rPr>
                <w:sz w:val="20"/>
              </w:rPr>
              <w:t>Reinigingsschema update: zeef 3 nu 3x/dag</w:t>
            </w:r>
          </w:p>
        </w:tc>
        <w:tc>
          <w:tcPr>
            <w:tcW w:type="dxa" w:w="1701"/>
          </w:tcPr>
          <w:p>
            <w:r>
              <w:rPr>
                <w:sz w:val="20"/>
              </w:rPr>
              <w:t>Jan de Boer</w:t>
            </w:r>
          </w:p>
        </w:tc>
        <w:tc>
          <w:tcPr>
            <w:tcW w:type="dxa" w:w="1701"/>
          </w:tcPr>
          <w:p>
            <w:r>
              <w:rPr>
                <w:sz w:val="20"/>
              </w:rPr>
              <w:t>18-04-2026</w:t>
            </w:r>
          </w:p>
        </w:tc>
        <w:tc>
          <w:tcPr>
            <w:tcW w:type="dxa" w:w="1134"/>
          </w:tcPr>
          <w:p>
            <w:r>
              <w:rPr>
                <w:sz w:val="20"/>
              </w:rPr>
              <w:t>Open</w:t>
            </w:r>
          </w:p>
        </w:tc>
      </w:tr>
      <w:tr>
        <w:tc>
          <w:tcPr>
            <w:tcW w:type="dxa" w:w="567"/>
          </w:tcPr>
          <w:p>
            <w:r>
              <w:rPr>
                <w:sz w:val="20"/>
              </w:rPr>
              <w:t>2</w:t>
            </w:r>
          </w:p>
        </w:tc>
        <w:tc>
          <w:tcPr>
            <w:tcW w:type="dxa" w:w="3969"/>
          </w:tcPr>
          <w:p>
            <w:r>
              <w:rPr>
                <w:sz w:val="20"/>
              </w:rPr>
              <w:t>ATEX-labeling pompruimte aanvragen</w:t>
            </w:r>
          </w:p>
        </w:tc>
        <w:tc>
          <w:tcPr>
            <w:tcW w:type="dxa" w:w="1701"/>
          </w:tcPr>
          <w:p>
            <w:r>
              <w:rPr>
                <w:sz w:val="20"/>
              </w:rPr>
              <w:t>HSE Manager</w:t>
            </w:r>
          </w:p>
        </w:tc>
        <w:tc>
          <w:tcPr>
            <w:tcW w:type="dxa" w:w="1701"/>
          </w:tcPr>
          <w:p>
            <w:r>
              <w:rPr>
                <w:sz w:val="20"/>
              </w:rPr>
              <w:t>25-04-2026</w:t>
            </w:r>
          </w:p>
        </w:tc>
        <w:tc>
          <w:tcPr>
            <w:tcW w:type="dxa" w:w="1134"/>
          </w:tcPr>
          <w:p>
            <w:r>
              <w:rPr>
                <w:sz w:val="20"/>
              </w:rPr>
              <w:t>Open</w:t>
            </w:r>
          </w:p>
        </w:tc>
      </w:tr>
      <w:tr>
        <w:tc>
          <w:tcPr>
            <w:tcW w:type="dxa" w:w="567"/>
          </w:tcPr>
          <w:p>
            <w:r>
              <w:rPr>
                <w:sz w:val="20"/>
              </w:rPr>
              <w:t>3</w:t>
            </w:r>
          </w:p>
        </w:tc>
        <w:tc>
          <w:tcPr>
            <w:tcW w:type="dxa" w:w="3969"/>
          </w:tcPr>
          <w:p>
            <w:r>
              <w:rPr>
                <w:sz w:val="20"/>
              </w:rPr>
              <w:t>Alternatief masker testen (halfgelaatsmasker)</w:t>
            </w:r>
          </w:p>
        </w:tc>
        <w:tc>
          <w:tcPr>
            <w:tcW w:type="dxa" w:w="1701"/>
          </w:tcPr>
          <w:p>
            <w:r>
              <w:rPr>
                <w:sz w:val="20"/>
              </w:rPr>
              <w:t>HSE Manager</w:t>
            </w:r>
          </w:p>
        </w:tc>
        <w:tc>
          <w:tcPr>
            <w:tcW w:type="dxa" w:w="1701"/>
          </w:tcPr>
          <w:p>
            <w:r>
              <w:rPr>
                <w:sz w:val="20"/>
              </w:rPr>
              <w:t>02-05-2026</w:t>
            </w:r>
          </w:p>
        </w:tc>
        <w:tc>
          <w:tcPr>
            <w:tcW w:type="dxa" w:w="1134"/>
          </w:tcPr>
          <w:p>
            <w:r>
              <w:rPr>
                <w:sz w:val="20"/>
              </w:rPr>
              <w:t>Open</w:t>
            </w:r>
          </w:p>
        </w:tc>
      </w:tr>
    </w:tbl>
    <w:p/>
    <w:p>
      <w:r>
        <w:rPr>
          <w:b/>
        </w:rPr>
        <w:t>Aanwezigen:</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val="clear"/>
          </w:tcPr>
          <w:p>
            <w:pPr>
              <w:jc w:val="center"/>
            </w:pPr>
            <w:r>
              <w:rPr>
                <w:b/>
                <w:color w:val="FFFFFF"/>
                <w:sz w:val="20"/>
              </w:rPr>
              <w:t>Naam</w:t>
            </w:r>
          </w:p>
        </w:tc>
        <w:tc>
          <w:tcPr>
            <w:tcW w:type="dxa" w:w="2835"/>
            <w:shd w:fill="003366" w:val="clear"/>
          </w:tcPr>
          <w:p>
            <w:pPr>
              <w:jc w:val="center"/>
            </w:pPr>
            <w:r>
              <w:rPr>
                <w:b/>
                <w:color w:val="FFFFFF"/>
                <w:sz w:val="20"/>
              </w:rPr>
              <w:t>Functie</w:t>
            </w:r>
          </w:p>
        </w:tc>
        <w:tc>
          <w:tcPr>
            <w:tcW w:type="dxa" w:w="3402"/>
            <w:shd w:fill="003366" w:val="clear"/>
          </w:tcPr>
          <w:p>
            <w:pPr>
              <w:jc w:val="center"/>
            </w:pPr>
            <w:r>
              <w:rPr>
                <w:b/>
                <w:color w:val="FFFFFF"/>
                <w:sz w:val="20"/>
              </w:rPr>
              <w:t>Handtekening</w:t>
            </w:r>
          </w:p>
        </w:tc>
      </w:tr>
      <w:tr>
        <w:tc>
          <w:tcPr>
            <w:tcW w:type="dxa" w:w="3402"/>
          </w:tcPr>
          <w:p>
            <w:r>
              <w:rPr>
                <w:sz w:val="20"/>
              </w:rPr>
              <w:t>Jan de Boer</w:t>
            </w:r>
          </w:p>
        </w:tc>
        <w:tc>
          <w:tcPr>
            <w:tcW w:type="dxa" w:w="2835"/>
          </w:tcPr>
          <w:p>
            <w:r>
              <w:rPr>
                <w:sz w:val="20"/>
              </w:rPr>
              <w:t>Voorman</w:t>
            </w:r>
          </w:p>
        </w:tc>
        <w:tc>
          <w:tcPr>
            <w:tcW w:type="dxa" w:w="3402"/>
          </w:tcPr>
          <w:p>
            <w:r>
              <w:rPr>
                <w:sz w:val="20"/>
              </w:rPr>
            </w:r>
          </w:p>
        </w:tc>
      </w:tr>
      <w:tr>
        <w:tc>
          <w:tcPr>
            <w:tcW w:type="dxa" w:w="3402"/>
          </w:tcPr>
          <w:p>
            <w:r>
              <w:rPr>
                <w:sz w:val="20"/>
              </w:rPr>
              <w:t>Piet Bakker</w:t>
            </w:r>
          </w:p>
        </w:tc>
        <w:tc>
          <w:tcPr>
            <w:tcW w:type="dxa" w:w="2835"/>
          </w:tcPr>
          <w:p>
            <w:r>
              <w:rPr>
                <w:sz w:val="20"/>
              </w:rPr>
              <w:t>Operator</w:t>
            </w:r>
          </w:p>
        </w:tc>
        <w:tc>
          <w:tcPr>
            <w:tcW w:type="dxa" w:w="3402"/>
          </w:tcPr>
          <w:p>
            <w:r>
              <w:rPr>
                <w:sz w:val="20"/>
              </w:rPr>
            </w:r>
          </w:p>
        </w:tc>
      </w:tr>
      <w:tr>
        <w:tc>
          <w:tcPr>
            <w:tcW w:type="dxa" w:w="3402"/>
          </w:tcPr>
          <w:p>
            <w:r>
              <w:rPr>
                <w:sz w:val="20"/>
              </w:rPr>
              <w:t>Klaas Jansen</w:t>
            </w:r>
          </w:p>
        </w:tc>
        <w:tc>
          <w:tcPr>
            <w:tcW w:type="dxa" w:w="2835"/>
          </w:tcPr>
          <w:p>
            <w:r>
              <w:rPr>
                <w:sz w:val="20"/>
              </w:rPr>
              <w:t>Operator</w:t>
            </w:r>
          </w:p>
        </w:tc>
        <w:tc>
          <w:tcPr>
            <w:tcW w:type="dxa" w:w="3402"/>
          </w:tcPr>
          <w:p>
            <w:r>
              <w:rPr>
                <w:sz w:val="20"/>
              </w:rPr>
            </w:r>
          </w:p>
        </w:tc>
      </w:tr>
      <w:tr>
        <w:tc>
          <w:tcPr>
            <w:tcW w:type="dxa" w:w="3402"/>
          </w:tcPr>
          <w:p>
            <w:r>
              <w:rPr>
                <w:sz w:val="20"/>
              </w:rPr>
              <w:t>Henk Visser</w:t>
            </w:r>
          </w:p>
        </w:tc>
        <w:tc>
          <w:tcPr>
            <w:tcW w:type="dxa" w:w="2835"/>
          </w:tcPr>
          <w:p>
            <w:r>
              <w:rPr>
                <w:sz w:val="20"/>
              </w:rPr>
              <w:t>Operator</w:t>
            </w:r>
          </w:p>
        </w:tc>
        <w:tc>
          <w:tcPr>
            <w:tcW w:type="dxa" w:w="3402"/>
          </w:tcPr>
          <w:p>
            <w:r>
              <w:rPr>
                <w:sz w:val="20"/>
              </w:rPr>
            </w:r>
          </w:p>
        </w:tc>
      </w:tr>
      <w:tr>
        <w:tc>
          <w:tcPr>
            <w:tcW w:type="dxa" w:w="3402"/>
          </w:tcPr>
          <w:p>
            <w:r>
              <w:rPr>
                <w:sz w:val="20"/>
              </w:rPr>
              <w:t>Maria de Groot</w:t>
            </w:r>
          </w:p>
        </w:tc>
        <w:tc>
          <w:tcPr>
            <w:tcW w:type="dxa" w:w="2835"/>
          </w:tcPr>
          <w:p>
            <w:r>
              <w:rPr>
                <w:sz w:val="20"/>
              </w:rPr>
              <w:t>Operator</w:t>
            </w:r>
          </w:p>
        </w:tc>
        <w:tc>
          <w:tcPr>
            <w:tcW w:type="dxa" w:w="3402"/>
          </w:tcPr>
          <w:p>
            <w:r>
              <w:rPr>
                <w:sz w:val="20"/>
              </w:rPr>
            </w:r>
          </w:p>
        </w:tc>
      </w:tr>
      <w:tr>
        <w:tc>
          <w:tcPr>
            <w:tcW w:type="dxa" w:w="3402"/>
          </w:tcPr>
          <w:p>
            <w:r>
              <w:rPr>
                <w:sz w:val="20"/>
              </w:rPr>
              <w:t>Ahmed El Amrani</w:t>
            </w:r>
          </w:p>
        </w:tc>
        <w:tc>
          <w:tcPr>
            <w:tcW w:type="dxa" w:w="2835"/>
          </w:tcPr>
          <w:p>
            <w:r>
              <w:rPr>
                <w:sz w:val="20"/>
              </w:rPr>
              <w:t>Operator</w:t>
            </w:r>
          </w:p>
        </w:tc>
        <w:tc>
          <w:tcPr>
            <w:tcW w:type="dxa" w:w="3402"/>
          </w:tcPr>
          <w:p>
            <w:r>
              <w:rPr>
                <w:sz w:val="20"/>
              </w:rPr>
            </w:r>
          </w:p>
        </w:tc>
      </w:tr>
    </w:tbl>
    <w:p>
      <w:pPr>
        <w:pStyle w:val="Heading1"/>
      </w:pPr>
      <w:r>
        <w:rPr>
          <w:color w:val="003366"/>
        </w:rPr>
        <w:t>10. Kwaliteitscontrole</w:t>
      </w:r>
    </w:p>
    <w:p>
      <w:pPr>
        <w:pStyle w:val="Heading2"/>
      </w:pPr>
      <w:r>
        <w:rPr>
          <w:color w:val="003366"/>
        </w:rPr>
        <w:t>10.1 Maandelijkse steekproef</w:t>
      </w:r>
    </w:p>
    <w:p>
      <w:r>
        <w:t>De HSE Manager beoordeelt maandelijks een steekproef (minimaal 2 per ploeg) van uitgevoerde toolbox meetings op de volgende criteria:</w:t>
      </w:r>
    </w:p>
    <w:p>
      <w:pPr>
        <w:pStyle w:val="ListBullet"/>
      </w:pPr>
      <w:r>
        <w:t>Relevantie onderwerp — sluit aan bij actuele risico's en jaarplanning</w:t>
      </w:r>
    </w:p>
    <w:p>
      <w:pPr>
        <w:pStyle w:val="ListBullet"/>
      </w:pPr>
      <w:r>
        <w:t>Kwaliteit kernboodschappen — concreet, specifiek, actiegericht</w:t>
      </w:r>
    </w:p>
    <w:p>
      <w:pPr>
        <w:pStyle w:val="ListBullet"/>
      </w:pPr>
      <w:r>
        <w:t>Opvolging acties — zijn acties binnen termijn afgerond</w:t>
      </w:r>
    </w:p>
    <w:p>
      <w:pPr>
        <w:pStyle w:val="ListBullet"/>
      </w:pPr>
      <w:r>
        <w:t>Betrokkenheid — aantal deelnemers, kwaliteit discussie-input</w:t>
      </w:r>
    </w:p>
    <w:p>
      <w:pPr>
        <w:pStyle w:val="Heading2"/>
      </w:pPr>
      <w:r>
        <w:rPr>
          <w:color w:val="003366"/>
        </w:rPr>
        <w:t>10.2 Jaarlijkse evaluatie</w:t>
      </w:r>
    </w:p>
    <w:p>
      <w:r>
        <w:t>De resultaten van de maandelijkse steekproeven worden gebundeld en besproken in de jaarlijkse Management Review (zie PS-230, §8). Verbeterpunten worden omgezet in acties voor het volgend jaar.</w:t>
      </w:r>
    </w:p>
    <w:p>
      <w:pPr>
        <w:pStyle w:val="Heading1"/>
      </w:pPr>
      <w:r>
        <w:rPr>
          <w:color w:val="003366"/>
        </w:rPr>
        <w:t>11. Gerelateerde Documenten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1984"/>
            <w:shd w:fill="003366" w:val="clear"/>
          </w:tcPr>
          <w:p>
            <w:pPr>
              <w:jc w:val="center"/>
            </w:pPr>
            <w:r>
              <w:rPr>
                <w:b/>
                <w:color w:val="FFFFFF"/>
                <w:sz w:val="20"/>
              </w:rPr>
              <w:t>Document</w:t>
            </w:r>
          </w:p>
        </w:tc>
        <w:tc>
          <w:tcPr>
            <w:tcW w:type="dxa" w:w="1417"/>
            <w:shd w:fill="003366" w:val="clear"/>
          </w:tcPr>
          <w:p>
            <w:pPr>
              <w:jc w:val="center"/>
            </w:pPr>
            <w:r>
              <w:rPr>
                <w:b/>
                <w:color w:val="FFFFFF"/>
                <w:sz w:val="20"/>
              </w:rPr>
              <w:t>Code</w:t>
            </w:r>
          </w:p>
        </w:tc>
        <w:tc>
          <w:tcPr>
            <w:tcW w:type="dxa" w:w="3118"/>
            <w:shd w:fill="003366" w:val="clear"/>
          </w:tcPr>
          <w:p>
            <w:pPr>
              <w:jc w:val="center"/>
            </w:pPr>
            <w:r>
              <w:rPr>
                <w:b/>
                <w:color w:val="FFFFFF"/>
                <w:sz w:val="20"/>
              </w:rPr>
              <w:t>Bestand</w:t>
            </w:r>
          </w:p>
        </w:tc>
        <w:tc>
          <w:tcPr>
            <w:tcW w:type="dxa" w:w="2551"/>
            <w:shd w:fill="003366" w:val="clear"/>
          </w:tcPr>
          <w:p>
            <w:pPr>
              <w:jc w:val="center"/>
            </w:pPr>
            <w:r>
              <w:rPr>
                <w:b/>
                <w:color w:val="FFFFFF"/>
                <w:sz w:val="20"/>
              </w:rPr>
              <w:t>Relatie</w:t>
            </w:r>
          </w:p>
        </w:tc>
      </w:tr>
      <w:tr>
        <w:tc>
          <w:tcPr>
            <w:tcW w:type="dxa" w:w="567"/>
          </w:tcPr>
          <w:p>
            <w:r>
              <w:rPr>
                <w:sz w:val="20"/>
              </w:rPr>
              <w:t>1</w:t>
            </w:r>
          </w:p>
        </w:tc>
        <w:tc>
          <w:tcPr>
            <w:tcW w:type="dxa" w:w="1984"/>
          </w:tcPr>
          <w:p>
            <w:r>
              <w:rPr>
                <w:sz w:val="20"/>
              </w:rPr>
              <w:t>PBZO Beleidsdocument</w:t>
            </w:r>
          </w:p>
        </w:tc>
        <w:tc>
          <w:tcPr>
            <w:tcW w:type="dxa" w:w="1417"/>
          </w:tcPr>
          <w:p>
            <w:r>
              <w:rPr>
                <w:sz w:val="20"/>
              </w:rPr>
              <w:t>PS-230</w:t>
            </w:r>
          </w:p>
        </w:tc>
        <w:tc>
          <w:tcPr>
            <w:tcW w:type="dxa" w:w="3118"/>
          </w:tcPr>
          <w:p>
            <w:r>
              <w:rPr>
                <w:sz w:val="20"/>
              </w:rPr>
              <w:t>PM_VBS01_01_PBZO_Beleidsdocument_v1.2.docx</w:t>
            </w:r>
          </w:p>
        </w:tc>
        <w:tc>
          <w:tcPr>
            <w:tcW w:type="dxa" w:w="2551"/>
          </w:tcPr>
          <w:p>
            <w:r>
              <w:rPr>
                <w:sz w:val="20"/>
              </w:rPr>
              <w:t>Kaderstellend beleid; §5 VBS Element 1 structuur, §8 Management Review</w:t>
            </w:r>
          </w:p>
        </w:tc>
      </w:tr>
      <w:tr>
        <w:tc>
          <w:tcPr>
            <w:tcW w:type="dxa" w:w="567"/>
          </w:tcPr>
          <w:p>
            <w:r>
              <w:rPr>
                <w:sz w:val="20"/>
              </w:rPr>
              <w:t>2</w:t>
            </w:r>
          </w:p>
        </w:tc>
        <w:tc>
          <w:tcPr>
            <w:tcW w:type="dxa" w:w="1984"/>
          </w:tcPr>
          <w:p>
            <w:r>
              <w:rPr>
                <w:sz w:val="20"/>
              </w:rPr>
              <w:t>Functieprofielen Veiligheid</w:t>
            </w:r>
          </w:p>
        </w:tc>
        <w:tc>
          <w:tcPr>
            <w:tcW w:type="dxa" w:w="1417"/>
          </w:tcPr>
          <w:p>
            <w:r>
              <w:rPr>
                <w:sz w:val="20"/>
              </w:rPr>
              <w:t>PE-310-02</w:t>
            </w:r>
          </w:p>
        </w:tc>
        <w:tc>
          <w:tcPr>
            <w:tcW w:type="dxa" w:w="3118"/>
          </w:tcPr>
          <w:p>
            <w:r>
              <w:rPr>
                <w:sz w:val="20"/>
              </w:rPr>
              <w:t>PM_VBS01_02_Functieprofielen_Veiligheid_v1.1.docx</w:t>
            </w:r>
          </w:p>
        </w:tc>
        <w:tc>
          <w:tcPr>
            <w:tcW w:type="dxa" w:w="2551"/>
          </w:tcPr>
          <w:p>
            <w:r>
              <w:rPr>
                <w:sz w:val="20"/>
              </w:rPr>
              <w:t>Gedetailleerde rolbeschrijvingen HSE Manager, Voorman, Operatoren</w:t>
            </w:r>
          </w:p>
        </w:tc>
      </w:tr>
      <w:tr>
        <w:tc>
          <w:tcPr>
            <w:tcW w:type="dxa" w:w="567"/>
          </w:tcPr>
          <w:p>
            <w:r>
              <w:rPr>
                <w:sz w:val="20"/>
              </w:rPr>
              <w:t>3</w:t>
            </w:r>
          </w:p>
        </w:tc>
        <w:tc>
          <w:tcPr>
            <w:tcW w:type="dxa" w:w="1984"/>
          </w:tcPr>
          <w:p>
            <w:r>
              <w:rPr>
                <w:sz w:val="20"/>
              </w:rPr>
              <w:t>Organigram Veiligheid</w:t>
            </w:r>
          </w:p>
        </w:tc>
        <w:tc>
          <w:tcPr>
            <w:tcW w:type="dxa" w:w="1417"/>
          </w:tcPr>
          <w:p>
            <w:r>
              <w:rPr>
                <w:sz w:val="20"/>
              </w:rPr>
              <w:t>PE-310-03</w:t>
            </w:r>
          </w:p>
        </w:tc>
        <w:tc>
          <w:tcPr>
            <w:tcW w:type="dxa" w:w="3118"/>
          </w:tcPr>
          <w:p>
            <w:r>
              <w:rPr>
                <w:sz w:val="20"/>
              </w:rPr>
              <w:t>PM_VBS01_03_Organigram_Veiligheid_v1.1.docx</w:t>
            </w:r>
          </w:p>
        </w:tc>
        <w:tc>
          <w:tcPr>
            <w:tcW w:type="dxa" w:w="2551"/>
          </w:tcPr>
          <w:p>
            <w:r>
              <w:rPr>
                <w:sz w:val="20"/>
              </w:rPr>
              <w:t>Lijnstructuur en rapportagelijnen toolbox-verantwoordelijkheden</w:t>
            </w:r>
          </w:p>
        </w:tc>
      </w:tr>
      <w:tr>
        <w:tc>
          <w:tcPr>
            <w:tcW w:type="dxa" w:w="567"/>
          </w:tcPr>
          <w:p>
            <w:r>
              <w:rPr>
                <w:sz w:val="20"/>
              </w:rPr>
              <w:t>4</w:t>
            </w:r>
          </w:p>
        </w:tc>
        <w:tc>
          <w:tcPr>
            <w:tcW w:type="dxa" w:w="1984"/>
          </w:tcPr>
          <w:p>
            <w:r>
              <w:rPr>
                <w:sz w:val="20"/>
              </w:rPr>
              <w:t>Training Matrix</w:t>
            </w:r>
          </w:p>
        </w:tc>
        <w:tc>
          <w:tcPr>
            <w:tcW w:type="dxa" w:w="1417"/>
          </w:tcPr>
          <w:p>
            <w:r>
              <w:rPr>
                <w:sz w:val="20"/>
              </w:rPr>
              <w:t>FM-310-01-01</w:t>
            </w:r>
          </w:p>
        </w:tc>
        <w:tc>
          <w:tcPr>
            <w:tcW w:type="dxa" w:w="3118"/>
          </w:tcPr>
          <w:p>
            <w:r>
              <w:rPr>
                <w:sz w:val="20"/>
              </w:rPr>
              <w:t>PM_VBS01_04_Training_Matrix_v1.1.docx</w:t>
            </w:r>
          </w:p>
        </w:tc>
        <w:tc>
          <w:tcPr>
            <w:tcW w:type="dxa" w:w="2551"/>
          </w:tcPr>
          <w:p>
            <w:r>
              <w:rPr>
                <w:sz w:val="20"/>
              </w:rPr>
              <w:t>Trainingseisen voor het voorzitten van toolbox meetings</w:t>
            </w:r>
          </w:p>
        </w:tc>
      </w:tr>
      <w:tr>
        <w:tc>
          <w:tcPr>
            <w:tcW w:type="dxa" w:w="567"/>
          </w:tcPr>
          <w:p>
            <w:r>
              <w:rPr>
                <w:sz w:val="20"/>
              </w:rPr>
              <w:t>5</w:t>
            </w:r>
          </w:p>
        </w:tc>
        <w:tc>
          <w:tcPr>
            <w:tcW w:type="dxa" w:w="1984"/>
          </w:tcPr>
          <w:p>
            <w:r>
              <w:rPr>
                <w:sz w:val="20"/>
              </w:rPr>
              <w:t>Inwerkprogramma</w:t>
            </w:r>
          </w:p>
        </w:tc>
        <w:tc>
          <w:tcPr>
            <w:tcW w:type="dxa" w:w="1417"/>
          </w:tcPr>
          <w:p>
            <w:r>
              <w:rPr>
                <w:sz w:val="20"/>
              </w:rPr>
              <w:t>PE-310-01</w:t>
            </w:r>
          </w:p>
        </w:tc>
        <w:tc>
          <w:tcPr>
            <w:tcW w:type="dxa" w:w="3118"/>
          </w:tcPr>
          <w:p>
            <w:r>
              <w:rPr>
                <w:sz w:val="20"/>
              </w:rPr>
              <w:t>PM_VBS01_05_Inwerkprogramma_v1.1.docx</w:t>
            </w:r>
          </w:p>
        </w:tc>
        <w:tc>
          <w:tcPr>
            <w:tcW w:type="dxa" w:w="2551"/>
          </w:tcPr>
          <w:p>
            <w:r>
              <w:rPr>
                <w:sz w:val="20"/>
              </w:rPr>
              <w:t>Introductie toolbox procedure voor nieuwe medewerkers</w:t>
            </w:r>
          </w:p>
        </w:tc>
      </w:tr>
      <w:tr>
        <w:tc>
          <w:tcPr>
            <w:tcW w:type="dxa" w:w="567"/>
          </w:tcPr>
          <w:p>
            <w:r>
              <w:rPr>
                <w:sz w:val="20"/>
              </w:rPr>
              <w:t>6</w:t>
            </w:r>
          </w:p>
        </w:tc>
        <w:tc>
          <w:tcPr>
            <w:tcW w:type="dxa" w:w="1984"/>
          </w:tcPr>
          <w:p>
            <w:r>
              <w:rPr>
                <w:sz w:val="20"/>
              </w:rPr>
              <w:t>Toolbox Meeting Procedure</w:t>
            </w:r>
          </w:p>
        </w:tc>
        <w:tc>
          <w:tcPr>
            <w:tcW w:type="dxa" w:w="1417"/>
          </w:tcPr>
          <w:p>
            <w:r>
              <w:rPr>
                <w:sz w:val="20"/>
              </w:rPr>
              <w:t>PE-290-01-10</w:t>
            </w:r>
          </w:p>
        </w:tc>
        <w:tc>
          <w:tcPr>
            <w:tcW w:type="dxa" w:w="3118"/>
          </w:tcPr>
          <w:p>
            <w:r>
              <w:rPr>
                <w:sz w:val="20"/>
              </w:rPr>
              <w:t>PM_VBS01_06_Toolbox_Meeting_Procedure_v1.0.docx</w:t>
            </w:r>
          </w:p>
        </w:tc>
        <w:tc>
          <w:tcPr>
            <w:tcW w:type="dxa" w:w="2551"/>
          </w:tcPr>
          <w:p>
            <w:r>
              <w:rPr>
                <w:sz w:val="20"/>
              </w:rPr>
              <w:t>Dit document — procedure, template, onderwerplijst</w:t>
            </w:r>
          </w:p>
        </w:tc>
      </w:tr>
    </w:tbl>
    <w:p>
      <w:pPr>
        <w:pStyle w:val="Heading1"/>
      </w:pPr>
      <w:r>
        <w:rPr>
          <w:color w:val="003366"/>
        </w:rPr>
        <w:t>12. Bronverwijzingen</w:t>
      </w:r>
    </w:p>
    <w:p>
      <w:r>
        <w:t>[1] Seveso III-richtlijn 2012/18/EU, Bijlage III — Betrokkenheid werknemers en communicatie</w:t>
      </w:r>
    </w:p>
    <w:p>
      <w:r>
        <w:t>[2] NTA 8620 — Veiligheidsbrancheafspraak voor Seveso-inrichtingen (NEN)</w:t>
      </w:r>
    </w:p>
    <w:p>
      <w:r>
        <w:t>[3] Arbowet — Artikel 3 (zorgplicht werkgever), Artikel 5 (informatie, instructie, toezicht)</w:t>
      </w:r>
    </w:p>
    <w:p>
      <w:r>
        <w:t>[4] ISO 45001:2018 — Clausule 7.3 (Awareness), Clausule 7.4 (Communication)</w:t>
      </w:r>
    </w:p>
    <w:p>
      <w:r>
        <w:t>[5] IPLO.nl — Preventiebeleid en Veiligheidsbrancheafspraken (VBS) Seveso</w:t>
      </w:r>
    </w:p>
    <w:p>
      <w:pPr>
        <w:pStyle w:val="Heading1"/>
      </w:pPr>
      <w:r>
        <w:rPr>
          <w:color w:val="003366"/>
        </w:rPr>
        <w:t>13. TierVerify Log</w:t>
      </w:r>
    </w:p>
    <w:p>
      <w:r>
        <w:t>Onderstaande log documenteert de verificatiestappen uitgevoerd bij het opstellen van dit document.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Check</w:t>
            </w:r>
          </w:p>
        </w:tc>
        <w:tc>
          <w:tcPr>
            <w:tcW w:type="dxa" w:w="2268"/>
            <w:shd w:fill="003366" w:val="clear"/>
          </w:tcPr>
          <w:p>
            <w:pPr>
              <w:jc w:val="center"/>
            </w:pPr>
            <w:r>
              <w:rPr>
                <w:b/>
                <w:color w:val="FFFFFF"/>
                <w:sz w:val="20"/>
              </w:rPr>
              <w:t>Onderwerp</w:t>
            </w:r>
          </w:p>
        </w:tc>
        <w:tc>
          <w:tcPr>
            <w:tcW w:type="dxa" w:w="5102"/>
            <w:shd w:fill="003366" w:val="clear"/>
          </w:tcPr>
          <w:p>
            <w:pPr>
              <w:jc w:val="center"/>
            </w:pPr>
            <w:r>
              <w:rPr>
                <w:b/>
                <w:color w:val="FFFFFF"/>
                <w:sz w:val="20"/>
              </w:rPr>
              <w:t>Details</w:t>
            </w:r>
          </w:p>
        </w:tc>
        <w:tc>
          <w:tcPr>
            <w:tcW w:type="dxa" w:w="1417"/>
            <w:shd w:fill="003366" w:val="clear"/>
          </w:tcPr>
          <w:p>
            <w:pPr>
              <w:jc w:val="center"/>
            </w:pPr>
            <w:r>
              <w:rPr>
                <w:b/>
                <w:color w:val="FFFFFF"/>
                <w:sz w:val="20"/>
              </w:rPr>
              <w:t>Status</w:t>
            </w:r>
          </w:p>
        </w:tc>
      </w:tr>
      <w:tr>
        <w:tc>
          <w:tcPr>
            <w:tcW w:type="dxa" w:w="850"/>
          </w:tcPr>
          <w:p>
            <w:r>
              <w:rPr>
                <w:sz w:val="20"/>
              </w:rPr>
              <w:t>V1</w:t>
            </w:r>
          </w:p>
        </w:tc>
        <w:tc>
          <w:tcPr>
            <w:tcW w:type="dxa" w:w="2268"/>
          </w:tcPr>
          <w:p>
            <w:r>
              <w:rPr>
                <w:sz w:val="20"/>
              </w:rPr>
              <w:t xml:space="preserve"> Wettelijke basis geverifieerd</w:t>
            </w:r>
          </w:p>
        </w:tc>
        <w:tc>
          <w:tcPr>
            <w:tcW w:type="dxa" w:w="5102"/>
          </w:tcPr>
          <w:p>
            <w:r>
              <w:rPr>
                <w:sz w:val="20"/>
              </w:rPr>
              <w:t>Seveso III Bijlage III, NTA 8620, Arbowet art. 3/5 — actuele versies geraadpleegd</w:t>
            </w:r>
          </w:p>
        </w:tc>
        <w:tc>
          <w:tcPr>
            <w:tcW w:type="dxa" w:w="1417"/>
          </w:tcPr>
          <w:p>
            <w:r>
              <w:rPr>
                <w:sz w:val="20"/>
              </w:rPr>
              <w:t>✅ Pass</w:t>
            </w:r>
          </w:p>
        </w:tc>
      </w:tr>
      <w:tr>
        <w:tc>
          <w:tcPr>
            <w:tcW w:type="dxa" w:w="850"/>
          </w:tcPr>
          <w:p>
            <w:r>
              <w:rPr>
                <w:sz w:val="20"/>
              </w:rPr>
              <w:t>V2</w:t>
            </w:r>
          </w:p>
        </w:tc>
        <w:tc>
          <w:tcPr>
            <w:tcW w:type="dxa" w:w="2268"/>
          </w:tcPr>
          <w:p>
            <w:r>
              <w:rPr>
                <w:sz w:val="20"/>
              </w:rPr>
              <w:t>Consistentie VBS Element 1</w:t>
            </w:r>
          </w:p>
        </w:tc>
        <w:tc>
          <w:tcPr>
            <w:tcW w:type="dxa" w:w="5102"/>
          </w:tcPr>
          <w:p>
            <w:r>
              <w:rPr>
                <w:sz w:val="20"/>
              </w:rPr>
              <w:t>Koppelingen naar PS-230 (PBZO), PE-310-02 (Functieprofielen) gecontroleerd</w:t>
            </w:r>
          </w:p>
        </w:tc>
        <w:tc>
          <w:tcPr>
            <w:tcW w:type="dxa" w:w="1417"/>
          </w:tcPr>
          <w:p>
            <w:r>
              <w:rPr>
                <w:sz w:val="20"/>
              </w:rPr>
              <w:t>✅ Pass</w:t>
            </w:r>
          </w:p>
        </w:tc>
      </w:tr>
      <w:tr>
        <w:tc>
          <w:tcPr>
            <w:tcW w:type="dxa" w:w="850"/>
          </w:tcPr>
          <w:p>
            <w:r>
              <w:rPr>
                <w:sz w:val="20"/>
              </w:rPr>
              <w:t>V3</w:t>
            </w:r>
          </w:p>
        </w:tc>
        <w:tc>
          <w:tcPr>
            <w:tcW w:type="dxa" w:w="2268"/>
          </w:tcPr>
          <w:p>
            <w:r>
              <w:rPr>
                <w:sz w:val="20"/>
              </w:rPr>
              <w:t>Proces-specifieke inhoud</w:t>
            </w:r>
          </w:p>
        </w:tc>
        <w:tc>
          <w:tcPr>
            <w:tcW w:type="dxa" w:w="5102"/>
          </w:tcPr>
          <w:p>
            <w:r>
              <w:rPr>
                <w:sz w:val="20"/>
              </w:rPr>
              <w:t>V₂O₅ en H₂SO₄ parameters geverifieerd tegen SDS en ATEX-classificatie</w:t>
            </w:r>
          </w:p>
        </w:tc>
        <w:tc>
          <w:tcPr>
            <w:tcW w:type="dxa" w:w="1417"/>
          </w:tcPr>
          <w:p>
            <w:r>
              <w:rPr>
                <w:sz w:val="20"/>
              </w:rPr>
              <w:t>✅ Pass</w:t>
            </w:r>
          </w:p>
        </w:tc>
      </w:tr>
      <w:tr>
        <w:tc>
          <w:tcPr>
            <w:tcW w:type="dxa" w:w="850"/>
          </w:tcPr>
          <w:p>
            <w:r>
              <w:rPr>
                <w:sz w:val="20"/>
              </w:rPr>
              <w:t>V4</w:t>
            </w:r>
          </w:p>
        </w:tc>
        <w:tc>
          <w:tcPr>
            <w:tcW w:type="dxa" w:w="2268"/>
          </w:tcPr>
          <w:p>
            <w:r>
              <w:rPr>
                <w:sz w:val="20"/>
              </w:rPr>
              <w:t>Inter-document koppelingen</w:t>
            </w:r>
          </w:p>
        </w:tc>
        <w:tc>
          <w:tcPr>
            <w:tcW w:type="dxa" w:w="5102"/>
          </w:tcPr>
          <w:p>
            <w:r>
              <w:rPr>
                <w:sz w:val="20"/>
              </w:rPr>
              <w:t>Alle 6 documentverwijzingen gecontroleerd op juiste codes en bestandsnamen</w:t>
            </w:r>
          </w:p>
        </w:tc>
        <w:tc>
          <w:tcPr>
            <w:tcW w:type="dxa" w:w="1417"/>
          </w:tcPr>
          <w:p>
            <w:r>
              <w:rPr>
                <w:sz w:val="20"/>
              </w:rPr>
              <w:t>✅ Pass</w:t>
            </w:r>
          </w:p>
        </w:tc>
      </w:tr>
      <w:tr>
        <w:tc>
          <w:tcPr>
            <w:tcW w:type="dxa" w:w="850"/>
          </w:tcPr>
          <w:p>
            <w:r>
              <w:rPr>
                <w:sz w:val="20"/>
              </w:rPr>
              <w:t>V5</w:t>
            </w:r>
          </w:p>
        </w:tc>
        <w:tc>
          <w:tcPr>
            <w:tcW w:type="dxa" w:w="2268"/>
          </w:tcPr>
          <w:p>
            <w:r>
              <w:rPr>
                <w:sz w:val="20"/>
              </w:rPr>
              <w:t>Template compleet</w:t>
            </w:r>
          </w:p>
        </w:tc>
        <w:tc>
          <w:tcPr>
            <w:tcW w:type="dxa" w:w="5102"/>
          </w:tcPr>
          <w:p>
            <w:r>
              <w:rPr>
                <w:sz w:val="20"/>
              </w:rPr>
              <w:t>Invulformulier bevat alle vereiste velden (header, kernboodschappen, acties, aanwezigen)</w:t>
            </w:r>
          </w:p>
        </w:tc>
        <w:tc>
          <w:tcPr>
            <w:tcW w:type="dxa" w:w="1417"/>
          </w:tcPr>
          <w:p>
            <w:r>
              <w:rPr>
                <w:sz w:val="20"/>
              </w:rPr>
              <w:t>✅ Pass</w:t>
            </w:r>
          </w:p>
        </w:tc>
      </w:tr>
      <w:tr>
        <w:tc>
          <w:tcPr>
            <w:tcW w:type="dxa" w:w="850"/>
          </w:tcPr>
          <w:p>
            <w:r>
              <w:rPr>
                <w:sz w:val="20"/>
              </w:rPr>
              <w:t>V6</w:t>
            </w:r>
          </w:p>
        </w:tc>
        <w:tc>
          <w:tcPr>
            <w:tcW w:type="dxa" w:w="2268"/>
          </w:tcPr>
          <w:p>
            <w:r>
              <w:rPr>
                <w:sz w:val="20"/>
              </w:rPr>
              <w:t>Voorbeeld realistisch</w:t>
            </w:r>
          </w:p>
        </w:tc>
        <w:tc>
          <w:tcPr>
            <w:tcW w:type="dxa" w:w="5102"/>
          </w:tcPr>
          <w:p>
            <w:r>
              <w:rPr>
                <w:sz w:val="20"/>
              </w:rPr>
              <w:t>Ingevuld voorbeeld gebaseerd op daadwerkelijke Phoenix Metals risicoprofiel</w:t>
            </w:r>
          </w:p>
        </w:tc>
        <w:tc>
          <w:tcPr>
            <w:tcW w:type="dxa" w:w="1417"/>
          </w:tcPr>
          <w:p>
            <w:r>
              <w:rPr>
                <w:sz w:val="20"/>
              </w:rPr>
              <w:t>✅ Pass</w:t>
            </w:r>
          </w:p>
        </w:tc>
      </w:tr>
      <w:tr>
        <w:tc>
          <w:tcPr>
            <w:tcW w:type="dxa" w:w="850"/>
          </w:tcPr>
          <w:p>
            <w:r>
              <w:rPr>
                <w:sz w:val="20"/>
              </w:rPr>
              <w:t>V7</w:t>
            </w:r>
          </w:p>
        </w:tc>
        <w:tc>
          <w:tcPr>
            <w:tcW w:type="dxa" w:w="2268"/>
          </w:tcPr>
          <w:p>
            <w:r>
              <w:rPr>
                <w:sz w:val="20"/>
              </w:rPr>
              <w:t>Bronverwijzingen compleet</w:t>
            </w:r>
          </w:p>
        </w:tc>
        <w:tc>
          <w:tcPr>
            <w:tcW w:type="dxa" w:w="5102"/>
          </w:tcPr>
          <w:p>
            <w:r>
              <w:rPr>
                <w:sz w:val="20"/>
              </w:rPr>
              <w:t>5 bronnen, genummerd [1]-[5], referenties in tekst aanwezig</w:t>
            </w:r>
          </w:p>
        </w:tc>
        <w:tc>
          <w:tcPr>
            <w:tcW w:type="dxa" w:w="1417"/>
          </w:tcPr>
          <w:p>
            <w:r>
              <w:rPr>
                <w:sz w:val="20"/>
              </w:rPr>
              <w:t>✅ Pass</w:t>
            </w:r>
          </w:p>
        </w:tc>
      </w:tr>
      <w:tr>
        <w:tc>
          <w:tcPr>
            <w:tcW w:type="dxa" w:w="850"/>
          </w:tcPr>
          <w:p>
            <w:r>
              <w:rPr>
                <w:sz w:val="20"/>
              </w:rPr>
              <w:t>V8</w:t>
            </w:r>
          </w:p>
        </w:tc>
        <w:tc>
          <w:tcPr>
            <w:tcW w:type="dxa" w:w="2268"/>
          </w:tcPr>
          <w:p>
            <w:r>
              <w:rPr>
                <w:sz w:val="20"/>
              </w:rPr>
              <w:t>Taal en stijl</w:t>
            </w:r>
          </w:p>
        </w:tc>
        <w:tc>
          <w:tcPr>
            <w:tcW w:type="dxa" w:w="5102"/>
          </w:tcPr>
          <w:p>
            <w:r>
              <w:rPr>
                <w:sz w:val="20"/>
              </w:rPr>
              <w:t>Nederlands, professioneel, feitelijk, geen AI-clichés</w:t>
            </w:r>
          </w:p>
        </w:tc>
        <w:tc>
          <w:tcPr>
            <w:tcW w:type="dxa" w:w="1417"/>
          </w:tcPr>
          <w:p>
            <w:r>
              <w:rPr>
                <w:sz w:val="20"/>
              </w:rPr>
              <w:t>✅ Pass</w:t>
            </w:r>
          </w:p>
        </w:tc>
      </w:tr>
    </w:tbl>
    <w:p/>
    <w:p>
      <w:r>
        <w:rPr>
          <w:b/>
          <w:sz w:val="20"/>
        </w:rPr>
        <w:t>TierVerify afgerond: 28 april 2026 — Auteur: JvG Consultancy — Status: ALLE CHECKS PASS</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