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rmal"/>
      </w:pPr>
    </w:p>
    <w:tbl>
      <w:tblPr>
        <w:tblStyle w:val="TableGrid"/>
        <w:tblW w:type="auto" w:w="0"/>
        <w:jc w:val="left"/>
        <w:tblLook w:firstColumn="1" w:firstRow="1" w:lastColumn="0" w:lastRow="0" w:noHBand="0" w:noVBand="1" w:val="04A0"/>
      </w:tblPr>
      <w:tblGrid>
        <w:gridCol w:w="4320"/>
        <w:gridCol w:w="4320"/>
      </w:tblGrid>
      <w:tr>
        <w:tc>
          <w:tcPr>
            <w:tcW w:type="dxa" w:w="4320"/>
            <w:shd w:fill="003366"/>
          </w:tcPr>
          <w:p>
            <w:pPr/>
            <w:r>
              <w:rPr>
                <w:rFonts w:ascii="Calibri" w:hAnsi="Calibri"/>
                <w:b/>
                <w:color w:val="FFFFFF"/>
                <w:sz w:val="20"/>
              </w:rPr>
              <w:t>Project</w:t>
            </w:r>
          </w:p>
        </w:tc>
        <w:tc>
          <w:tcPr>
            <w:tcW w:type="dxa" w:w="4320"/>
          </w:tcPr>
          <w:p>
            <w:pPr/>
            <w:r>
              <w:rPr>
                <w:rFonts w:ascii="Calibri" w:hAnsi="Calibri"/>
                <w:sz w:val="20"/>
              </w:rPr>
              <w:t>2026-PM-VBS-Element1</w:t>
            </w:r>
          </w:p>
        </w:tc>
      </w:tr>
      <w:tr>
        <w:tc>
          <w:tcPr>
            <w:tcW w:type="dxa" w:w="4320"/>
            <w:shd w:fill="003366"/>
          </w:tcPr>
          <w:p>
            <w:pPr/>
            <w:r>
              <w:rPr>
                <w:rFonts w:ascii="Calibri" w:hAnsi="Calibri"/>
                <w:b/>
                <w:color w:val="FFFFFF"/>
                <w:sz w:val="20"/>
              </w:rPr>
              <w:t>Type</w:t>
            </w:r>
          </w:p>
        </w:tc>
        <w:tc>
          <w:tcPr>
            <w:tcW w:type="dxa" w:w="4320"/>
          </w:tcPr>
          <w:p>
            <w:pPr/>
            <w:r>
              <w:rPr>
                <w:rFonts w:ascii="Calibri" w:hAnsi="Calibri"/>
                <w:sz w:val="20"/>
              </w:rPr>
              <w:t>Beleidsdocument</w:t>
            </w:r>
          </w:p>
        </w:tc>
      </w:tr>
      <w:tr>
        <w:tc>
          <w:tcPr>
            <w:tcW w:type="dxa" w:w="4320"/>
            <w:shd w:fill="003366"/>
          </w:tcPr>
          <w:p>
            <w:pPr/>
            <w:r>
              <w:rPr>
                <w:rFonts w:ascii="Calibri" w:hAnsi="Calibri"/>
                <w:b/>
                <w:color w:val="FFFFFF"/>
                <w:sz w:val="20"/>
              </w:rPr>
              <w:t>Auteur</w:t>
            </w:r>
          </w:p>
        </w:tc>
        <w:tc>
          <w:tcPr>
            <w:tcW w:type="dxa" w:w="4320"/>
          </w:tcPr>
          <w:p>
            <w:pPr/>
            <w:r>
              <w:rPr>
                <w:rFonts w:ascii="Calibri" w:hAnsi="Calibri"/>
                <w:sz w:val="20"/>
              </w:rPr>
              <w:t>python-docx</w:t>
            </w:r>
          </w:p>
        </w:tc>
      </w:tr>
      <w:tr>
        <w:tc>
          <w:tcPr>
            <w:tcW w:type="dxa" w:w="4320"/>
            <w:shd w:fill="003366"/>
          </w:tcPr>
          <w:p>
            <w:pPr/>
            <w:r>
              <w:rPr>
                <w:rFonts w:ascii="Calibri" w:hAnsi="Calibri"/>
                <w:b/>
                <w:color w:val="FFFFFF"/>
                <w:sz w:val="20"/>
              </w:rPr>
              <w:t>Versie</w:t>
            </w:r>
          </w:p>
        </w:tc>
        <w:tc>
          <w:tcPr>
            <w:tcW w:type="dxa" w:w="4320"/>
          </w:tcPr>
          <w:p>
            <w:pPr/>
            <w:r>
              <w:rPr>
                <w:rFonts w:ascii="Calibri" w:hAnsi="Calibri"/>
                <w:sz w:val="20"/>
              </w:rPr>
              <w:t>1.3</w:t>
            </w:r>
          </w:p>
        </w:tc>
      </w:tr>
      <w:tr>
        <w:tc>
          <w:tcPr>
            <w:tcW w:type="dxa" w:w="4320"/>
            <w:shd w:fill="003366"/>
          </w:tcPr>
          <w:p>
            <w:pPr/>
            <w:r>
              <w:rPr>
                <w:rFonts w:ascii="Calibri" w:hAnsi="Calibri"/>
                <w:b/>
                <w:color w:val="FFFFFF"/>
                <w:sz w:val="20"/>
              </w:rPr>
              <w:t>Datum</w:t>
            </w:r>
          </w:p>
        </w:tc>
        <w:tc>
          <w:tcPr>
            <w:tcW w:type="dxa" w:w="4320"/>
          </w:tcPr>
          <w:p>
            <w:pPr/>
            <w:r>
              <w:rPr>
                <w:rFonts w:ascii="Calibri" w:hAnsi="Calibri"/>
                <w:sz w:val="20"/>
              </w:rPr>
              <w:t>2013-12-23</w:t>
            </w:r>
          </w:p>
        </w:tc>
      </w:tr>
      <w:tr>
        <w:tc>
          <w:tcPr>
            <w:tcW w:type="dxa" w:w="4320"/>
            <w:shd w:fill="003366"/>
          </w:tcPr>
          <w:p>
            <w:pPr/>
            <w:r>
              <w:rPr>
                <w:rFonts w:ascii="Calibri" w:hAnsi="Calibri"/>
                <w:b/>
                <w:color w:val="FFFFFF"/>
                <w:sz w:val="20"/>
              </w:rPr>
              <w:t>Status</w:t>
            </w:r>
          </w:p>
        </w:tc>
        <w:tc>
          <w:tcPr>
            <w:tcW w:type="dxa" w:w="4320"/>
          </w:tcPr>
          <w:p>
            <w:pPr/>
            <w:r>
              <w:rPr>
                <w:rFonts w:ascii="Calibri" w:hAnsi="Calibri"/>
                <w:sz w:val="20"/>
              </w:rPr>
              <w:t>Final</w:t>
            </w:r>
          </w:p>
        </w:tc>
      </w:tr>
    </w:tbl>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5. Organisatorische structuur</w:t>
      </w:r>
    </w:p>
    <w:p>
      <w:pPr>
        <w:pStyle w:val="Heading2"/>
      </w:pPr>
      <w:r>
        <w:rPr>
          <w:color w:val="003366"/>
        </w:rPr>
        <w:t>5.1 Veiligheidsorganigram</w:t>
      </w:r>
    </w:p>
    <w:p>
      <w:pPr/>
      <w:r>
        <w:t>De veiligheidsorganisatiestructuur van Phoenix Metals B.V. kent de volgende hiërarchie en rapportagelijnen: (zie PE-310-03)</w:t>
      </w:r>
    </w:p>
    <w:p>
      <w:pPr>
        <w:jc w:val="center"/>
      </w:pPr>
      <w:r>
        <w:drawing>
          <wp:inline xmlns:a="http://schemas.openxmlformats.org/drawingml/2006/main" xmlns:pic="http://schemas.openxmlformats.org/drawingml/2006/picture">
            <wp:extent cx="5029200" cy="2828925"/>
            <wp:docPr id="1" name="Picture 1"/>
            <wp:cNvGraphicFramePr>
              <a:graphicFrameLocks noChangeAspect="1"/>
            </wp:cNvGraphicFramePr>
            <a:graphic>
              <a:graphicData uri="http://schemas.openxmlformats.org/drawingml/2006/picture">
                <pic:pic>
                  <pic:nvPicPr>
                    <pic:cNvPr id="0" name="organogram.png"/>
                    <pic:cNvPicPr/>
                  </pic:nvPicPr>
                  <pic:blipFill>
                    <a:blip r:embed="rId9"/>
                    <a:stretch>
                      <a:fillRect/>
                    </a:stretch>
                  </pic:blipFill>
                  <pic:spPr>
                    <a:xfrm>
                      <a:off x="0" y="0"/>
                      <a:ext cx="5029200" cy="2828925"/>
                    </a:xfrm>
                    <a:prstGeom prst="rect"/>
                  </pic:spPr>
                </pic:pic>
              </a:graphicData>
            </a:graphic>
          </wp:inline>
        </w:drawing>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7. Veiligheidsprestatie-indicatoren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7.1 Leading indicators (preventief)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7.2 Lagging indicators (reactief)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7.3 Targets jaar 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targets voor het eerste jaar na invoering van het PBZO zijn vastgesteld met als uitgangspunt een haalbaar maar ambitieus niveau, rekening houdend met de omvang van de organisatie (proeffabriek, beperkt aantal medewerkers) en de complexiteit van de activiteiten: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7.4 Rapportagecyclus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8. Review en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8.1 Jaarlijkse review door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Directie voert minimaal eenmaal per jaar een formele review uit van het PBZO en het Veiligheidsbeheersysteem. Deze review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veiligheidsprestaties ten opzichte van de gestelde targets (hoofdstuk 7)</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effectiviteit van de beheersmaatregelen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Analyse van incidenten, near-misses en auditbevindingen over het afgelopen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Herbeoordeling van de risicocontext (nieuwe stoffen, gewijzigde processen, nieuwe inzichten)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bijgewerkte doelstellingen en actieplannen voor het komende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actualiteit en volledigheid van alle VBS-documenten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8.2 5-jaarlijkse herbeoordeling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Conform artikel 4.12 van het Besluit activiteiten leefomgeving (Bal) [2] wordt het PBZO minimaal elke vijf jaar integraal herbeoordeeld. Deze herbeoordeling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Volledige herziening van de risicobeoordeling in het licht van actuele kennis en technologie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Toetsing aan gewijzigde wet- en regelgeving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organisatorische structuur en competentieniveaus (zie FM-310-01-01)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prestaties van het VBS over de afgelopen vijf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het geüpdatete PBZO door de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8.3 Triggers voor tussentijdse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Naast de vaste reviewcycli wordt het PBZO tussentijds geactualiseerd indien een of meer van de volgende situaties zich voordoen: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9. Bijlagen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tbl>
      <w:tblPr>
        <w:tblW w:type="auto" w:w="0"/>
        <w:jc w:val="center"/>
        <w:tblLook w:firstColumn="1" w:firstRow="1" w:lastColumn="0" w:lastRow="0" w:noHBand="0" w:noVBand="1" w:val="04A0"/>
      </w:tblPr>
      <w:tblGrid>
        <w:gridCol w:w="2160"/>
        <w:gridCol w:w="2160"/>
        <w:gridCol w:w="2160"/>
        <w:gridCol w:w="2160"/>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i/>
                <w:sz w:val="18"/>
              </w:rPr>
              <w:t>(dit document)</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van de in het beleid gedefinieerde veiligheidsrollen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Organisatorische structuur die het beleid inricht</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sz w:val="18"/>
              </w:rPr>
              <w:t>Trainingseisen afgeleid uit de beleidsdoelstellingen</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sz w:val="18"/>
              </w:rPr>
              <w:t>Inwerkprogramma voor nieuwe medewerkers conform beleidskader</w:t>
            </w:r>
          </w:p>
        </w:tc>
      </w:tr>
    </w:tbl>
    <w:sectPr w:rsidR="00FC693F" w:rsidRPr="0006063C" w:rsidSect="00034616">
      <w:footerReference w:type="default" r:id="rId10"/>
      <w:pgSz w:w="12240" w:h="15840"/>
      <w:pgMar w:top="1440" w:right="1800" w:bottom="1440" w:left="1800" w:header="720" w:footer="720" w:gutter="0"/>
      <w:cols w:space="720"/>
      <w:docGrid w:linePitch="360"/>
    </w:sectPr>
    <w:p>
      <w:pPr>
        <w:pStyle w:val="Heading1"/>
      </w:pPr>
      <w:r>
        <w:rPr>
          <w:color w:val="003366"/>
        </w:rP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Heading1"/>
      </w:pPr>
      <w:r>
        <w:rPr>
          <w:b/>
          <w:color w:val="003366"/>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